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合同编号：</w:t>
      </w:r>
    </w:p>
    <w:p>
      <w:pPr>
        <w:adjustRightInd w:val="0"/>
        <w:snapToGrid w:val="0"/>
        <w:spacing w:line="360" w:lineRule="auto"/>
        <w:rPr>
          <w:rFonts w:ascii="宋体" w:hAnsi="宋体"/>
          <w:color w:val="auto"/>
          <w:szCs w:val="21"/>
          <w:highlight w:val="none"/>
        </w:rPr>
      </w:pPr>
    </w:p>
    <w:p>
      <w:pPr>
        <w:tabs>
          <w:tab w:val="left" w:pos="900"/>
        </w:tabs>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 w:val="36"/>
          <w:szCs w:val="36"/>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广东南华工商职业学院清远校区二期建设工程（学生生活区、教学行政区）园林绿化</w:t>
      </w: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项目施工合同</w:t>
      </w:r>
    </w:p>
    <w:p>
      <w:pPr>
        <w:adjustRightInd w:val="0"/>
        <w:snapToGrid w:val="0"/>
        <w:spacing w:line="360" w:lineRule="auto"/>
        <w:jc w:val="center"/>
        <w:rPr>
          <w:rFonts w:ascii="宋体" w:hAnsi="宋体"/>
          <w:color w:val="auto"/>
          <w:sz w:val="48"/>
          <w:szCs w:val="48"/>
          <w:highlight w:val="none"/>
        </w:rPr>
      </w:pPr>
    </w:p>
    <w:p>
      <w:pPr>
        <w:adjustRightInd w:val="0"/>
        <w:snapToGrid w:val="0"/>
        <w:spacing w:line="360" w:lineRule="auto"/>
        <w:jc w:val="center"/>
        <w:rPr>
          <w:rFonts w:ascii="宋体" w:hAnsi="宋体"/>
          <w:color w:val="auto"/>
          <w:sz w:val="48"/>
          <w:szCs w:val="48"/>
          <w:highlight w:val="none"/>
        </w:rPr>
      </w:pPr>
    </w:p>
    <w:p>
      <w:pPr>
        <w:adjustRightInd w:val="0"/>
        <w:snapToGrid w:val="0"/>
        <w:spacing w:line="360" w:lineRule="auto"/>
        <w:jc w:val="center"/>
        <w:rPr>
          <w:rFonts w:ascii="宋体" w:hAnsi="宋体"/>
          <w:color w:val="auto"/>
          <w:sz w:val="48"/>
          <w:szCs w:val="48"/>
          <w:highlight w:val="none"/>
        </w:rPr>
      </w:pPr>
    </w:p>
    <w:p>
      <w:pPr>
        <w:adjustRightInd w:val="0"/>
        <w:snapToGrid w:val="0"/>
        <w:spacing w:line="360" w:lineRule="auto"/>
        <w:jc w:val="center"/>
        <w:rPr>
          <w:rFonts w:ascii="宋体" w:hAnsi="宋体"/>
          <w:color w:val="auto"/>
          <w:sz w:val="48"/>
          <w:szCs w:val="48"/>
          <w:highlight w:val="none"/>
        </w:rPr>
      </w:pPr>
    </w:p>
    <w:p>
      <w:pPr>
        <w:adjustRightInd w:val="0"/>
        <w:snapToGrid w:val="0"/>
        <w:spacing w:line="360" w:lineRule="auto"/>
        <w:jc w:val="center"/>
        <w:rPr>
          <w:rFonts w:ascii="宋体" w:hAnsi="宋体"/>
          <w:color w:val="auto"/>
          <w:sz w:val="48"/>
          <w:szCs w:val="48"/>
          <w:highlight w:val="none"/>
        </w:rPr>
      </w:pPr>
    </w:p>
    <w:p>
      <w:pPr>
        <w:adjustRightInd w:val="0"/>
        <w:snapToGrid w:val="0"/>
        <w:spacing w:line="360" w:lineRule="auto"/>
        <w:jc w:val="center"/>
        <w:rPr>
          <w:rFonts w:ascii="宋体" w:hAnsi="宋体"/>
          <w:color w:val="auto"/>
          <w:sz w:val="48"/>
          <w:szCs w:val="48"/>
          <w:highlight w:val="none"/>
        </w:rPr>
      </w:pPr>
    </w:p>
    <w:p>
      <w:pPr>
        <w:adjustRightInd w:val="0"/>
        <w:snapToGrid w:val="0"/>
        <w:spacing w:line="360" w:lineRule="auto"/>
        <w:rPr>
          <w:rFonts w:ascii="宋体" w:hAnsi="宋体"/>
          <w:color w:val="auto"/>
          <w:sz w:val="48"/>
          <w:szCs w:val="48"/>
          <w:highlight w:val="none"/>
        </w:rPr>
      </w:pPr>
    </w:p>
    <w:p>
      <w:pPr>
        <w:adjustRightInd w:val="0"/>
        <w:snapToGrid w:val="0"/>
        <w:spacing w:line="360" w:lineRule="auto"/>
        <w:rPr>
          <w:rFonts w:ascii="宋体" w:hAnsi="宋体"/>
          <w:color w:val="auto"/>
          <w:sz w:val="30"/>
          <w:highlight w:val="none"/>
        </w:rPr>
      </w:pPr>
      <w:r>
        <w:rPr>
          <w:rFonts w:hint="eastAsia" w:ascii="宋体" w:hAnsi="宋体"/>
          <w:color w:val="auto"/>
          <w:sz w:val="30"/>
          <w:highlight w:val="none"/>
        </w:rPr>
        <w:t>发包人（甲方）：</w:t>
      </w:r>
      <w:r>
        <w:rPr>
          <w:rFonts w:hint="eastAsia" w:ascii="宋体" w:hAnsi="宋体"/>
          <w:color w:val="auto"/>
          <w:sz w:val="30"/>
          <w:highlight w:val="none"/>
          <w:u w:val="single"/>
        </w:rPr>
        <w:t>广东南华工商职业学院</w:t>
      </w:r>
    </w:p>
    <w:p>
      <w:pPr>
        <w:adjustRightInd w:val="0"/>
        <w:snapToGrid w:val="0"/>
        <w:spacing w:line="360" w:lineRule="auto"/>
        <w:ind w:firstLine="1500"/>
        <w:rPr>
          <w:rFonts w:ascii="宋体" w:hAnsi="宋体"/>
          <w:color w:val="auto"/>
          <w:sz w:val="30"/>
          <w:highlight w:val="none"/>
        </w:rPr>
      </w:pPr>
    </w:p>
    <w:p>
      <w:pPr>
        <w:adjustRightInd w:val="0"/>
        <w:snapToGrid w:val="0"/>
        <w:spacing w:line="360" w:lineRule="auto"/>
        <w:rPr>
          <w:rFonts w:ascii="宋体" w:hAnsi="宋体"/>
          <w:color w:val="auto"/>
          <w:sz w:val="30"/>
          <w:highlight w:val="none"/>
        </w:rPr>
      </w:pPr>
      <w:r>
        <w:rPr>
          <w:rFonts w:hint="eastAsia" w:ascii="宋体" w:hAnsi="宋体"/>
          <w:color w:val="auto"/>
          <w:sz w:val="30"/>
          <w:highlight w:val="none"/>
        </w:rPr>
        <w:t xml:space="preserve">承包人（乙方）： </w:t>
      </w:r>
    </w:p>
    <w:p>
      <w:pPr>
        <w:adjustRightInd w:val="0"/>
        <w:snapToGrid w:val="0"/>
        <w:spacing w:line="360" w:lineRule="auto"/>
        <w:rPr>
          <w:rFonts w:ascii="宋体" w:hAnsi="宋体"/>
          <w:color w:val="auto"/>
          <w:sz w:val="30"/>
          <w:highlight w:val="none"/>
        </w:rPr>
      </w:pPr>
    </w:p>
    <w:p>
      <w:pPr>
        <w:adjustRightInd w:val="0"/>
        <w:snapToGrid w:val="0"/>
        <w:spacing w:line="360" w:lineRule="auto"/>
        <w:rPr>
          <w:rFonts w:ascii="宋体" w:hAnsi="宋体"/>
          <w:color w:val="auto"/>
          <w:sz w:val="30"/>
          <w:highlight w:val="none"/>
        </w:rPr>
      </w:pPr>
      <w:r>
        <w:rPr>
          <w:rFonts w:hint="eastAsia" w:ascii="宋体" w:hAnsi="宋体"/>
          <w:color w:val="auto"/>
          <w:sz w:val="30"/>
          <w:highlight w:val="none"/>
        </w:rPr>
        <w:t>签 订 日 期：    年    月    日</w:t>
      </w:r>
    </w:p>
    <w:p>
      <w:pPr>
        <w:pStyle w:val="30"/>
        <w:rPr>
          <w:rFonts w:hAnsi="宋体"/>
          <w:b/>
          <w:color w:val="auto"/>
          <w:sz w:val="36"/>
          <w:szCs w:val="36"/>
          <w:highlight w:val="none"/>
        </w:rPr>
      </w:pPr>
      <w:r>
        <w:rPr>
          <w:rFonts w:hAnsi="宋体"/>
          <w:b/>
          <w:color w:val="auto"/>
          <w:sz w:val="36"/>
          <w:szCs w:val="36"/>
          <w:highlight w:val="none"/>
        </w:rPr>
        <w:br w:type="page"/>
      </w:r>
      <w:r>
        <w:rPr>
          <w:rFonts w:hint="eastAsia" w:hAnsi="宋体"/>
          <w:b/>
          <w:color w:val="auto"/>
          <w:sz w:val="36"/>
          <w:szCs w:val="36"/>
          <w:highlight w:val="none"/>
        </w:rPr>
        <w:t xml:space="preserve">                       目 录</w:t>
      </w:r>
    </w:p>
    <w:p>
      <w:pPr>
        <w:pStyle w:val="30"/>
        <w:rPr>
          <w:rFonts w:asciiTheme="minorHAnsi" w:hAnsiTheme="minorHAnsi" w:eastAsiaTheme="minorEastAsia" w:cstheme="minorBidi"/>
          <w:color w:val="auto"/>
          <w:szCs w:val="22"/>
          <w:highlight w:val="none"/>
        </w:rPr>
      </w:pPr>
      <w:r>
        <w:rPr>
          <w:rFonts w:hAnsi="宋体"/>
          <w:b/>
          <w:color w:val="auto"/>
          <w:sz w:val="36"/>
          <w:szCs w:val="36"/>
          <w:highlight w:val="none"/>
        </w:rPr>
        <w:fldChar w:fldCharType="begin"/>
      </w:r>
      <w:r>
        <w:rPr>
          <w:rFonts w:hAnsi="宋体"/>
          <w:b/>
          <w:color w:val="auto"/>
          <w:sz w:val="36"/>
          <w:szCs w:val="36"/>
          <w:highlight w:val="none"/>
        </w:rPr>
        <w:instrText xml:space="preserve"> TOC \o "1-1" \h \z \u </w:instrText>
      </w:r>
      <w:r>
        <w:rPr>
          <w:rFonts w:hAnsi="宋体"/>
          <w:b/>
          <w:color w:val="auto"/>
          <w:sz w:val="36"/>
          <w:szCs w:val="36"/>
          <w:highlight w:val="none"/>
        </w:rPr>
        <w:fldChar w:fldCharType="separate"/>
      </w:r>
      <w:r>
        <w:rPr>
          <w:color w:val="auto"/>
          <w:highlight w:val="none"/>
        </w:rPr>
        <w:fldChar w:fldCharType="begin"/>
      </w:r>
      <w:r>
        <w:rPr>
          <w:color w:val="auto"/>
          <w:highlight w:val="none"/>
        </w:rPr>
        <w:instrText xml:space="preserve"> HYPERLINK \l "_Toc133502167" </w:instrText>
      </w:r>
      <w:r>
        <w:rPr>
          <w:color w:val="auto"/>
          <w:highlight w:val="none"/>
        </w:rPr>
        <w:fldChar w:fldCharType="separate"/>
      </w:r>
      <w:r>
        <w:rPr>
          <w:rStyle w:val="46"/>
          <w:rFonts w:hint="eastAsia"/>
          <w:color w:val="auto"/>
          <w:highlight w:val="none"/>
        </w:rPr>
        <w:t>第一部分</w:t>
      </w:r>
      <w:r>
        <w:rPr>
          <w:rStyle w:val="46"/>
          <w:color w:val="auto"/>
          <w:highlight w:val="none"/>
        </w:rPr>
        <w:t xml:space="preserve">  </w:t>
      </w:r>
      <w:r>
        <w:rPr>
          <w:rStyle w:val="46"/>
          <w:rFonts w:hint="eastAsia"/>
          <w:color w:val="auto"/>
          <w:highlight w:val="none"/>
        </w:rPr>
        <w:t>协议书</w:t>
      </w:r>
      <w:r>
        <w:rPr>
          <w:color w:val="auto"/>
          <w:highlight w:val="none"/>
        </w:rPr>
        <w:tab/>
      </w:r>
      <w:r>
        <w:rPr>
          <w:color w:val="auto"/>
          <w:highlight w:val="none"/>
        </w:rPr>
        <w:fldChar w:fldCharType="begin"/>
      </w:r>
      <w:r>
        <w:rPr>
          <w:color w:val="auto"/>
          <w:highlight w:val="none"/>
        </w:rPr>
        <w:instrText xml:space="preserve"> PAGEREF _Toc133502167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"_Toc133502168" </w:instrText>
      </w:r>
      <w:r>
        <w:rPr>
          <w:color w:val="auto"/>
          <w:highlight w:val="none"/>
        </w:rPr>
        <w:fldChar w:fldCharType="separate"/>
      </w:r>
      <w:r>
        <w:rPr>
          <w:rStyle w:val="46"/>
          <w:rFonts w:hint="eastAsia"/>
          <w:color w:val="auto"/>
          <w:highlight w:val="none"/>
        </w:rPr>
        <w:t>第二部分</w:t>
      </w:r>
      <w:r>
        <w:rPr>
          <w:rStyle w:val="46"/>
          <w:color w:val="auto"/>
          <w:highlight w:val="none"/>
        </w:rPr>
        <w:t xml:space="preserve">  </w:t>
      </w:r>
      <w:r>
        <w:rPr>
          <w:rStyle w:val="46"/>
          <w:rFonts w:hint="eastAsia"/>
          <w:color w:val="auto"/>
          <w:highlight w:val="none"/>
        </w:rPr>
        <w:t>通用条款</w:t>
      </w:r>
      <w:r>
        <w:rPr>
          <w:color w:val="auto"/>
          <w:highlight w:val="none"/>
        </w:rPr>
        <w:tab/>
      </w:r>
      <w:r>
        <w:rPr>
          <w:color w:val="auto"/>
          <w:highlight w:val="none"/>
        </w:rPr>
        <w:fldChar w:fldCharType="begin"/>
      </w:r>
      <w:r>
        <w:rPr>
          <w:color w:val="auto"/>
          <w:highlight w:val="none"/>
        </w:rPr>
        <w:instrText xml:space="preserve"> PAGEREF _Toc133502168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"_Toc133502169" </w:instrText>
      </w:r>
      <w:r>
        <w:rPr>
          <w:color w:val="auto"/>
          <w:highlight w:val="none"/>
        </w:rPr>
        <w:fldChar w:fldCharType="separate"/>
      </w:r>
      <w:r>
        <w:rPr>
          <w:rStyle w:val="46"/>
          <w:snapToGrid w:val="0"/>
          <w:color w:val="auto"/>
          <w:kern w:val="0"/>
          <w:highlight w:val="none"/>
        </w:rPr>
        <w:t>1.</w:t>
      </w:r>
      <w:r>
        <w:rPr>
          <w:rFonts w:asciiTheme="minorHAnsi" w:hAnsiTheme="minorHAnsi" w:eastAsiaTheme="minorEastAsia" w:cstheme="minorBidi"/>
          <w:color w:val="auto"/>
          <w:szCs w:val="22"/>
          <w:highlight w:val="none"/>
        </w:rPr>
        <w:tab/>
      </w:r>
      <w:r>
        <w:rPr>
          <w:rStyle w:val="46"/>
          <w:rFonts w:hint="eastAsia"/>
          <w:color w:val="auto"/>
          <w:highlight w:val="none"/>
        </w:rPr>
        <w:t>一般约定</w:t>
      </w:r>
      <w:r>
        <w:rPr>
          <w:color w:val="auto"/>
          <w:highlight w:val="none"/>
        </w:rPr>
        <w:tab/>
      </w:r>
      <w:r>
        <w:rPr>
          <w:color w:val="auto"/>
          <w:highlight w:val="none"/>
        </w:rPr>
        <w:fldChar w:fldCharType="begin"/>
      </w:r>
      <w:r>
        <w:rPr>
          <w:color w:val="auto"/>
          <w:highlight w:val="none"/>
        </w:rPr>
        <w:instrText xml:space="preserve"> PAGEREF _Toc133502169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"_Toc133502170" </w:instrText>
      </w:r>
      <w:r>
        <w:rPr>
          <w:color w:val="auto"/>
          <w:highlight w:val="none"/>
        </w:rPr>
        <w:fldChar w:fldCharType="separate"/>
      </w:r>
      <w:r>
        <w:rPr>
          <w:rStyle w:val="46"/>
          <w:snapToGrid w:val="0"/>
          <w:color w:val="auto"/>
          <w:kern w:val="0"/>
          <w:highlight w:val="none"/>
        </w:rPr>
        <w:t>2.</w:t>
      </w:r>
      <w:r>
        <w:rPr>
          <w:rFonts w:asciiTheme="minorHAnsi" w:hAnsiTheme="minorHAnsi" w:eastAsiaTheme="minorEastAsia" w:cstheme="minorBidi"/>
          <w:color w:val="auto"/>
          <w:szCs w:val="22"/>
          <w:highlight w:val="none"/>
        </w:rPr>
        <w:tab/>
      </w:r>
      <w:r>
        <w:rPr>
          <w:rStyle w:val="46"/>
          <w:rFonts w:hint="eastAsia"/>
          <w:color w:val="auto"/>
          <w:highlight w:val="none"/>
        </w:rPr>
        <w:t>发包人</w:t>
      </w:r>
      <w:r>
        <w:rPr>
          <w:color w:val="auto"/>
          <w:highlight w:val="none"/>
        </w:rPr>
        <w:tab/>
      </w:r>
      <w:r>
        <w:rPr>
          <w:color w:val="auto"/>
          <w:highlight w:val="none"/>
        </w:rPr>
        <w:fldChar w:fldCharType="begin"/>
      </w:r>
      <w:r>
        <w:rPr>
          <w:color w:val="auto"/>
          <w:highlight w:val="none"/>
        </w:rPr>
        <w:instrText xml:space="preserve"> PAGEREF _Toc133502170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"_Toc133502171" </w:instrText>
      </w:r>
      <w:r>
        <w:rPr>
          <w:color w:val="auto"/>
          <w:highlight w:val="none"/>
        </w:rPr>
        <w:fldChar w:fldCharType="separate"/>
      </w:r>
      <w:r>
        <w:rPr>
          <w:rStyle w:val="46"/>
          <w:snapToGrid w:val="0"/>
          <w:color w:val="auto"/>
          <w:kern w:val="0"/>
          <w:highlight w:val="none"/>
        </w:rPr>
        <w:t>3.</w:t>
      </w:r>
      <w:r>
        <w:rPr>
          <w:rFonts w:asciiTheme="minorHAnsi" w:hAnsiTheme="minorHAnsi" w:eastAsiaTheme="minorEastAsia" w:cstheme="minorBidi"/>
          <w:color w:val="auto"/>
          <w:szCs w:val="22"/>
          <w:highlight w:val="none"/>
        </w:rPr>
        <w:tab/>
      </w:r>
      <w:r>
        <w:rPr>
          <w:rStyle w:val="46"/>
          <w:rFonts w:hint="eastAsia"/>
          <w:color w:val="auto"/>
          <w:highlight w:val="none"/>
        </w:rPr>
        <w:t>监理人及造价咨询人</w:t>
      </w:r>
      <w:r>
        <w:rPr>
          <w:color w:val="auto"/>
          <w:highlight w:val="none"/>
        </w:rPr>
        <w:tab/>
      </w:r>
      <w:r>
        <w:rPr>
          <w:color w:val="auto"/>
          <w:highlight w:val="none"/>
        </w:rPr>
        <w:fldChar w:fldCharType="begin"/>
      </w:r>
      <w:r>
        <w:rPr>
          <w:color w:val="auto"/>
          <w:highlight w:val="none"/>
        </w:rPr>
        <w:instrText xml:space="preserve"> PAGEREF _Toc133502171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"_Toc133502172" </w:instrText>
      </w:r>
      <w:r>
        <w:rPr>
          <w:color w:val="auto"/>
          <w:highlight w:val="none"/>
        </w:rPr>
        <w:fldChar w:fldCharType="separate"/>
      </w:r>
      <w:r>
        <w:rPr>
          <w:rStyle w:val="46"/>
          <w:snapToGrid w:val="0"/>
          <w:color w:val="auto"/>
          <w:kern w:val="0"/>
          <w:highlight w:val="none"/>
        </w:rPr>
        <w:t>4.</w:t>
      </w:r>
      <w:r>
        <w:rPr>
          <w:rFonts w:asciiTheme="minorHAnsi" w:hAnsiTheme="minorHAnsi" w:eastAsiaTheme="minorEastAsia" w:cstheme="minorBidi"/>
          <w:color w:val="auto"/>
          <w:szCs w:val="22"/>
          <w:highlight w:val="none"/>
        </w:rPr>
        <w:tab/>
      </w:r>
      <w:r>
        <w:rPr>
          <w:rStyle w:val="46"/>
          <w:rFonts w:hint="eastAsia"/>
          <w:color w:val="auto"/>
          <w:highlight w:val="none"/>
        </w:rPr>
        <w:t>承包人</w:t>
      </w:r>
      <w:r>
        <w:rPr>
          <w:color w:val="auto"/>
          <w:highlight w:val="none"/>
        </w:rPr>
        <w:tab/>
      </w:r>
      <w:r>
        <w:rPr>
          <w:color w:val="auto"/>
          <w:highlight w:val="none"/>
        </w:rPr>
        <w:fldChar w:fldCharType="begin"/>
      </w:r>
      <w:r>
        <w:rPr>
          <w:color w:val="auto"/>
          <w:highlight w:val="none"/>
        </w:rPr>
        <w:instrText xml:space="preserve"> PAGEREF _Toc133502172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"_Toc133502173" </w:instrText>
      </w:r>
      <w:r>
        <w:rPr>
          <w:color w:val="auto"/>
          <w:highlight w:val="none"/>
        </w:rPr>
        <w:fldChar w:fldCharType="separate"/>
      </w:r>
      <w:r>
        <w:rPr>
          <w:rStyle w:val="46"/>
          <w:snapToGrid w:val="0"/>
          <w:color w:val="auto"/>
          <w:kern w:val="0"/>
          <w:highlight w:val="none"/>
        </w:rPr>
        <w:t>5.</w:t>
      </w:r>
      <w:r>
        <w:rPr>
          <w:rFonts w:asciiTheme="minorHAnsi" w:hAnsiTheme="minorHAnsi" w:eastAsiaTheme="minorEastAsia" w:cstheme="minorBidi"/>
          <w:color w:val="auto"/>
          <w:szCs w:val="22"/>
          <w:highlight w:val="none"/>
        </w:rPr>
        <w:tab/>
      </w:r>
      <w:r>
        <w:rPr>
          <w:rStyle w:val="46"/>
          <w:rFonts w:hint="eastAsia"/>
          <w:color w:val="auto"/>
          <w:highlight w:val="none"/>
        </w:rPr>
        <w:t>材料和工程设备</w:t>
      </w:r>
      <w:r>
        <w:rPr>
          <w:color w:val="auto"/>
          <w:highlight w:val="none"/>
        </w:rPr>
        <w:tab/>
      </w:r>
      <w:r>
        <w:rPr>
          <w:color w:val="auto"/>
          <w:highlight w:val="none"/>
        </w:rPr>
        <w:fldChar w:fldCharType="begin"/>
      </w:r>
      <w:r>
        <w:rPr>
          <w:color w:val="auto"/>
          <w:highlight w:val="none"/>
        </w:rPr>
        <w:instrText xml:space="preserve"> PAGEREF _Toc133502173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"_Toc133502174" </w:instrText>
      </w:r>
      <w:r>
        <w:rPr>
          <w:color w:val="auto"/>
          <w:highlight w:val="none"/>
        </w:rPr>
        <w:fldChar w:fldCharType="separate"/>
      </w:r>
      <w:r>
        <w:rPr>
          <w:rStyle w:val="46"/>
          <w:snapToGrid w:val="0"/>
          <w:color w:val="auto"/>
          <w:kern w:val="0"/>
          <w:highlight w:val="none"/>
        </w:rPr>
        <w:t>6.</w:t>
      </w:r>
      <w:r>
        <w:rPr>
          <w:rFonts w:asciiTheme="minorHAnsi" w:hAnsiTheme="minorHAnsi" w:eastAsiaTheme="minorEastAsia" w:cstheme="minorBidi"/>
          <w:color w:val="auto"/>
          <w:szCs w:val="22"/>
          <w:highlight w:val="none"/>
        </w:rPr>
        <w:tab/>
      </w:r>
      <w:r>
        <w:rPr>
          <w:rStyle w:val="46"/>
          <w:rFonts w:hint="eastAsia"/>
          <w:color w:val="auto"/>
          <w:highlight w:val="none"/>
        </w:rPr>
        <w:t>施工设备和临时设施</w:t>
      </w:r>
      <w:r>
        <w:rPr>
          <w:color w:val="auto"/>
          <w:highlight w:val="none"/>
        </w:rPr>
        <w:tab/>
      </w:r>
      <w:r>
        <w:rPr>
          <w:color w:val="auto"/>
          <w:highlight w:val="none"/>
        </w:rPr>
        <w:fldChar w:fldCharType="begin"/>
      </w:r>
      <w:r>
        <w:rPr>
          <w:color w:val="auto"/>
          <w:highlight w:val="none"/>
        </w:rPr>
        <w:instrText xml:space="preserve"> PAGEREF _Toc133502174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"_Toc133502175" </w:instrText>
      </w:r>
      <w:r>
        <w:rPr>
          <w:color w:val="auto"/>
          <w:highlight w:val="none"/>
        </w:rPr>
        <w:fldChar w:fldCharType="separate"/>
      </w:r>
      <w:r>
        <w:rPr>
          <w:rStyle w:val="46"/>
          <w:snapToGrid w:val="0"/>
          <w:color w:val="auto"/>
          <w:kern w:val="0"/>
          <w:highlight w:val="none"/>
        </w:rPr>
        <w:t>7.</w:t>
      </w:r>
      <w:r>
        <w:rPr>
          <w:rFonts w:asciiTheme="minorHAnsi" w:hAnsiTheme="minorHAnsi" w:eastAsiaTheme="minorEastAsia" w:cstheme="minorBidi"/>
          <w:color w:val="auto"/>
          <w:szCs w:val="22"/>
          <w:highlight w:val="none"/>
        </w:rPr>
        <w:tab/>
      </w:r>
      <w:r>
        <w:rPr>
          <w:rStyle w:val="46"/>
          <w:rFonts w:hint="eastAsia"/>
          <w:color w:val="auto"/>
          <w:highlight w:val="none"/>
        </w:rPr>
        <w:t>交通运输</w:t>
      </w:r>
      <w:r>
        <w:rPr>
          <w:color w:val="auto"/>
          <w:highlight w:val="none"/>
        </w:rPr>
        <w:tab/>
      </w:r>
      <w:r>
        <w:rPr>
          <w:color w:val="auto"/>
          <w:highlight w:val="none"/>
        </w:rPr>
        <w:fldChar w:fldCharType="begin"/>
      </w:r>
      <w:r>
        <w:rPr>
          <w:color w:val="auto"/>
          <w:highlight w:val="none"/>
        </w:rPr>
        <w:instrText xml:space="preserve"> PAGEREF _Toc133502175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"_Toc133502176" </w:instrText>
      </w:r>
      <w:r>
        <w:rPr>
          <w:color w:val="auto"/>
          <w:highlight w:val="none"/>
        </w:rPr>
        <w:fldChar w:fldCharType="separate"/>
      </w:r>
      <w:r>
        <w:rPr>
          <w:rStyle w:val="46"/>
          <w:snapToGrid w:val="0"/>
          <w:color w:val="auto"/>
          <w:kern w:val="0"/>
          <w:highlight w:val="none"/>
        </w:rPr>
        <w:t>8.</w:t>
      </w:r>
      <w:r>
        <w:rPr>
          <w:rFonts w:asciiTheme="minorHAnsi" w:hAnsiTheme="minorHAnsi" w:eastAsiaTheme="minorEastAsia" w:cstheme="minorBidi"/>
          <w:color w:val="auto"/>
          <w:szCs w:val="22"/>
          <w:highlight w:val="none"/>
        </w:rPr>
        <w:tab/>
      </w:r>
      <w:r>
        <w:rPr>
          <w:rStyle w:val="46"/>
          <w:rFonts w:hint="eastAsia"/>
          <w:color w:val="auto"/>
          <w:highlight w:val="none"/>
        </w:rPr>
        <w:t>测量放线</w:t>
      </w:r>
      <w:r>
        <w:rPr>
          <w:color w:val="auto"/>
          <w:highlight w:val="none"/>
        </w:rPr>
        <w:tab/>
      </w:r>
      <w:r>
        <w:rPr>
          <w:color w:val="auto"/>
          <w:highlight w:val="none"/>
        </w:rPr>
        <w:fldChar w:fldCharType="begin"/>
      </w:r>
      <w:r>
        <w:rPr>
          <w:color w:val="auto"/>
          <w:highlight w:val="none"/>
        </w:rPr>
        <w:instrText xml:space="preserve"> PAGEREF _Toc133502176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"_Toc133502177" </w:instrText>
      </w:r>
      <w:r>
        <w:rPr>
          <w:color w:val="auto"/>
          <w:highlight w:val="none"/>
        </w:rPr>
        <w:fldChar w:fldCharType="separate"/>
      </w:r>
      <w:r>
        <w:rPr>
          <w:rStyle w:val="46"/>
          <w:snapToGrid w:val="0"/>
          <w:color w:val="auto"/>
          <w:kern w:val="0"/>
          <w:highlight w:val="none"/>
        </w:rPr>
        <w:t>9.</w:t>
      </w:r>
      <w:r>
        <w:rPr>
          <w:rFonts w:asciiTheme="minorHAnsi" w:hAnsiTheme="minorHAnsi" w:eastAsiaTheme="minorEastAsia" w:cstheme="minorBidi"/>
          <w:color w:val="auto"/>
          <w:szCs w:val="22"/>
          <w:highlight w:val="none"/>
        </w:rPr>
        <w:tab/>
      </w:r>
      <w:r>
        <w:rPr>
          <w:rStyle w:val="46"/>
          <w:rFonts w:hint="eastAsia"/>
          <w:color w:val="auto"/>
          <w:highlight w:val="none"/>
        </w:rPr>
        <w:t>施工安全、治安保卫和环境保护</w:t>
      </w:r>
      <w:r>
        <w:rPr>
          <w:color w:val="auto"/>
          <w:highlight w:val="none"/>
        </w:rPr>
        <w:tab/>
      </w:r>
      <w:r>
        <w:rPr>
          <w:color w:val="auto"/>
          <w:highlight w:val="none"/>
        </w:rPr>
        <w:fldChar w:fldCharType="begin"/>
      </w:r>
      <w:r>
        <w:rPr>
          <w:color w:val="auto"/>
          <w:highlight w:val="none"/>
        </w:rPr>
        <w:instrText xml:space="preserve"> PAGEREF _Toc133502177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"_Toc133502178" </w:instrText>
      </w:r>
      <w:r>
        <w:rPr>
          <w:color w:val="auto"/>
          <w:highlight w:val="none"/>
        </w:rPr>
        <w:fldChar w:fldCharType="separate"/>
      </w:r>
      <w:r>
        <w:rPr>
          <w:rStyle w:val="46"/>
          <w:snapToGrid w:val="0"/>
          <w:color w:val="auto"/>
          <w:kern w:val="0"/>
          <w:highlight w:val="none"/>
        </w:rPr>
        <w:t>10.</w:t>
      </w:r>
      <w:r>
        <w:rPr>
          <w:rFonts w:asciiTheme="minorHAnsi" w:hAnsiTheme="minorHAnsi" w:eastAsiaTheme="minorEastAsia" w:cstheme="minorBidi"/>
          <w:color w:val="auto"/>
          <w:szCs w:val="22"/>
          <w:highlight w:val="none"/>
        </w:rPr>
        <w:tab/>
      </w:r>
      <w:r>
        <w:rPr>
          <w:rStyle w:val="46"/>
          <w:rFonts w:hint="eastAsia"/>
          <w:color w:val="auto"/>
          <w:highlight w:val="none"/>
        </w:rPr>
        <w:t>进度计划</w:t>
      </w:r>
      <w:r>
        <w:rPr>
          <w:color w:val="auto"/>
          <w:highlight w:val="none"/>
        </w:rPr>
        <w:tab/>
      </w:r>
      <w:r>
        <w:rPr>
          <w:color w:val="auto"/>
          <w:highlight w:val="none"/>
        </w:rPr>
        <w:fldChar w:fldCharType="begin"/>
      </w:r>
      <w:r>
        <w:rPr>
          <w:color w:val="auto"/>
          <w:highlight w:val="none"/>
        </w:rPr>
        <w:instrText xml:space="preserve"> PAGEREF _Toc133502178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"_Toc133502179" </w:instrText>
      </w:r>
      <w:r>
        <w:rPr>
          <w:color w:val="auto"/>
          <w:highlight w:val="none"/>
        </w:rPr>
        <w:fldChar w:fldCharType="separate"/>
      </w:r>
      <w:r>
        <w:rPr>
          <w:rStyle w:val="46"/>
          <w:snapToGrid w:val="0"/>
          <w:color w:val="auto"/>
          <w:kern w:val="0"/>
          <w:highlight w:val="none"/>
        </w:rPr>
        <w:t>11.</w:t>
      </w:r>
      <w:r>
        <w:rPr>
          <w:rFonts w:asciiTheme="minorHAnsi" w:hAnsiTheme="minorHAnsi" w:eastAsiaTheme="minorEastAsia" w:cstheme="minorBidi"/>
          <w:color w:val="auto"/>
          <w:szCs w:val="22"/>
          <w:highlight w:val="none"/>
        </w:rPr>
        <w:tab/>
      </w:r>
      <w:r>
        <w:rPr>
          <w:rStyle w:val="46"/>
          <w:rFonts w:hint="eastAsia"/>
          <w:color w:val="auto"/>
          <w:highlight w:val="none"/>
        </w:rPr>
        <w:t>开工和竣工</w:t>
      </w:r>
      <w:r>
        <w:rPr>
          <w:color w:val="auto"/>
          <w:highlight w:val="none"/>
        </w:rPr>
        <w:tab/>
      </w:r>
      <w:r>
        <w:rPr>
          <w:color w:val="auto"/>
          <w:highlight w:val="none"/>
        </w:rPr>
        <w:fldChar w:fldCharType="begin"/>
      </w:r>
      <w:r>
        <w:rPr>
          <w:color w:val="auto"/>
          <w:highlight w:val="none"/>
        </w:rPr>
        <w:instrText xml:space="preserve"> PAGEREF _Toc133502179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"_Toc133502180" </w:instrText>
      </w:r>
      <w:r>
        <w:rPr>
          <w:color w:val="auto"/>
          <w:highlight w:val="none"/>
        </w:rPr>
        <w:fldChar w:fldCharType="separate"/>
      </w:r>
      <w:r>
        <w:rPr>
          <w:rStyle w:val="46"/>
          <w:snapToGrid w:val="0"/>
          <w:color w:val="auto"/>
          <w:kern w:val="0"/>
          <w:highlight w:val="none"/>
        </w:rPr>
        <w:t>12.</w:t>
      </w:r>
      <w:r>
        <w:rPr>
          <w:rFonts w:asciiTheme="minorHAnsi" w:hAnsiTheme="minorHAnsi" w:eastAsiaTheme="minorEastAsia" w:cstheme="minorBidi"/>
          <w:color w:val="auto"/>
          <w:szCs w:val="22"/>
          <w:highlight w:val="none"/>
        </w:rPr>
        <w:tab/>
      </w:r>
      <w:r>
        <w:rPr>
          <w:rStyle w:val="46"/>
          <w:rFonts w:hint="eastAsia"/>
          <w:color w:val="auto"/>
          <w:highlight w:val="none"/>
        </w:rPr>
        <w:t>暂停施工</w:t>
      </w:r>
      <w:r>
        <w:rPr>
          <w:color w:val="auto"/>
          <w:highlight w:val="none"/>
        </w:rPr>
        <w:tab/>
      </w:r>
      <w:r>
        <w:rPr>
          <w:color w:val="auto"/>
          <w:highlight w:val="none"/>
        </w:rPr>
        <w:fldChar w:fldCharType="begin"/>
      </w:r>
      <w:r>
        <w:rPr>
          <w:color w:val="auto"/>
          <w:highlight w:val="none"/>
        </w:rPr>
        <w:instrText xml:space="preserve"> PAGEREF _Toc133502180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"_Toc133502181" </w:instrText>
      </w:r>
      <w:r>
        <w:rPr>
          <w:color w:val="auto"/>
          <w:highlight w:val="none"/>
        </w:rPr>
        <w:fldChar w:fldCharType="separate"/>
      </w:r>
      <w:r>
        <w:rPr>
          <w:rStyle w:val="46"/>
          <w:snapToGrid w:val="0"/>
          <w:color w:val="auto"/>
          <w:kern w:val="0"/>
          <w:highlight w:val="none"/>
        </w:rPr>
        <w:t>13.</w:t>
      </w:r>
      <w:r>
        <w:rPr>
          <w:rFonts w:asciiTheme="minorHAnsi" w:hAnsiTheme="minorHAnsi" w:eastAsiaTheme="minorEastAsia" w:cstheme="minorBidi"/>
          <w:color w:val="auto"/>
          <w:szCs w:val="22"/>
          <w:highlight w:val="none"/>
        </w:rPr>
        <w:tab/>
      </w:r>
      <w:r>
        <w:rPr>
          <w:rStyle w:val="46"/>
          <w:rFonts w:hint="eastAsia"/>
          <w:color w:val="auto"/>
          <w:highlight w:val="none"/>
        </w:rPr>
        <w:t>工程质量</w:t>
      </w:r>
      <w:r>
        <w:rPr>
          <w:color w:val="auto"/>
          <w:highlight w:val="none"/>
        </w:rPr>
        <w:tab/>
      </w:r>
      <w:r>
        <w:rPr>
          <w:color w:val="auto"/>
          <w:highlight w:val="none"/>
        </w:rPr>
        <w:fldChar w:fldCharType="begin"/>
      </w:r>
      <w:r>
        <w:rPr>
          <w:color w:val="auto"/>
          <w:highlight w:val="none"/>
        </w:rPr>
        <w:instrText xml:space="preserve"> PAGEREF _Toc133502181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"_Toc133502182" </w:instrText>
      </w:r>
      <w:r>
        <w:rPr>
          <w:color w:val="auto"/>
          <w:highlight w:val="none"/>
        </w:rPr>
        <w:fldChar w:fldCharType="separate"/>
      </w:r>
      <w:r>
        <w:rPr>
          <w:rStyle w:val="46"/>
          <w:snapToGrid w:val="0"/>
          <w:color w:val="auto"/>
          <w:kern w:val="0"/>
          <w:highlight w:val="none"/>
        </w:rPr>
        <w:t>14.</w:t>
      </w:r>
      <w:r>
        <w:rPr>
          <w:rFonts w:asciiTheme="minorHAnsi" w:hAnsiTheme="minorHAnsi" w:eastAsiaTheme="minorEastAsia" w:cstheme="minorBidi"/>
          <w:color w:val="auto"/>
          <w:szCs w:val="22"/>
          <w:highlight w:val="none"/>
        </w:rPr>
        <w:tab/>
      </w:r>
      <w:r>
        <w:rPr>
          <w:rStyle w:val="46"/>
          <w:rFonts w:hint="eastAsia"/>
          <w:color w:val="auto"/>
          <w:highlight w:val="none"/>
        </w:rPr>
        <w:t>试验和检验</w:t>
      </w:r>
      <w:r>
        <w:rPr>
          <w:color w:val="auto"/>
          <w:highlight w:val="none"/>
        </w:rPr>
        <w:tab/>
      </w:r>
      <w:r>
        <w:rPr>
          <w:color w:val="auto"/>
          <w:highlight w:val="none"/>
        </w:rPr>
        <w:fldChar w:fldCharType="begin"/>
      </w:r>
      <w:r>
        <w:rPr>
          <w:color w:val="auto"/>
          <w:highlight w:val="none"/>
        </w:rPr>
        <w:instrText xml:space="preserve"> PAGEREF _Toc133502182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"_Toc133502183" </w:instrText>
      </w:r>
      <w:r>
        <w:rPr>
          <w:color w:val="auto"/>
          <w:highlight w:val="none"/>
        </w:rPr>
        <w:fldChar w:fldCharType="separate"/>
      </w:r>
      <w:r>
        <w:rPr>
          <w:rStyle w:val="46"/>
          <w:snapToGrid w:val="0"/>
          <w:color w:val="auto"/>
          <w:kern w:val="0"/>
          <w:highlight w:val="none"/>
        </w:rPr>
        <w:t>15.</w:t>
      </w:r>
      <w:r>
        <w:rPr>
          <w:rFonts w:asciiTheme="minorHAnsi" w:hAnsiTheme="minorHAnsi" w:eastAsiaTheme="minorEastAsia" w:cstheme="minorBidi"/>
          <w:color w:val="auto"/>
          <w:szCs w:val="22"/>
          <w:highlight w:val="none"/>
        </w:rPr>
        <w:tab/>
      </w:r>
      <w:r>
        <w:rPr>
          <w:rStyle w:val="46"/>
          <w:rFonts w:hint="eastAsia"/>
          <w:color w:val="auto"/>
          <w:highlight w:val="none"/>
        </w:rPr>
        <w:t>变更</w:t>
      </w:r>
      <w:r>
        <w:rPr>
          <w:color w:val="auto"/>
          <w:highlight w:val="none"/>
        </w:rPr>
        <w:tab/>
      </w:r>
      <w:r>
        <w:rPr>
          <w:color w:val="auto"/>
          <w:highlight w:val="none"/>
        </w:rPr>
        <w:fldChar w:fldCharType="begin"/>
      </w:r>
      <w:r>
        <w:rPr>
          <w:color w:val="auto"/>
          <w:highlight w:val="none"/>
        </w:rPr>
        <w:instrText xml:space="preserve"> PAGEREF _Toc133502183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"_Toc133502184" </w:instrText>
      </w:r>
      <w:r>
        <w:rPr>
          <w:color w:val="auto"/>
          <w:highlight w:val="none"/>
        </w:rPr>
        <w:fldChar w:fldCharType="separate"/>
      </w:r>
      <w:r>
        <w:rPr>
          <w:rStyle w:val="46"/>
          <w:snapToGrid w:val="0"/>
          <w:color w:val="auto"/>
          <w:kern w:val="0"/>
          <w:highlight w:val="none"/>
        </w:rPr>
        <w:t>16.</w:t>
      </w:r>
      <w:r>
        <w:rPr>
          <w:rFonts w:asciiTheme="minorHAnsi" w:hAnsiTheme="minorHAnsi" w:eastAsiaTheme="minorEastAsia" w:cstheme="minorBidi"/>
          <w:color w:val="auto"/>
          <w:szCs w:val="22"/>
          <w:highlight w:val="none"/>
        </w:rPr>
        <w:tab/>
      </w:r>
      <w:r>
        <w:rPr>
          <w:rStyle w:val="46"/>
          <w:rFonts w:hint="eastAsia"/>
          <w:color w:val="auto"/>
          <w:highlight w:val="none"/>
        </w:rPr>
        <w:t>价格调整</w:t>
      </w:r>
      <w:r>
        <w:rPr>
          <w:color w:val="auto"/>
          <w:highlight w:val="none"/>
        </w:rPr>
        <w:tab/>
      </w:r>
      <w:r>
        <w:rPr>
          <w:color w:val="auto"/>
          <w:highlight w:val="none"/>
        </w:rPr>
        <w:fldChar w:fldCharType="begin"/>
      </w:r>
      <w:r>
        <w:rPr>
          <w:color w:val="auto"/>
          <w:highlight w:val="none"/>
        </w:rPr>
        <w:instrText xml:space="preserve"> PAGEREF _Toc133502184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"_Toc133502185" </w:instrText>
      </w:r>
      <w:r>
        <w:rPr>
          <w:color w:val="auto"/>
          <w:highlight w:val="none"/>
        </w:rPr>
        <w:fldChar w:fldCharType="separate"/>
      </w:r>
      <w:r>
        <w:rPr>
          <w:rStyle w:val="46"/>
          <w:snapToGrid w:val="0"/>
          <w:color w:val="auto"/>
          <w:kern w:val="0"/>
          <w:highlight w:val="none"/>
        </w:rPr>
        <w:t>17.</w:t>
      </w:r>
      <w:r>
        <w:rPr>
          <w:rFonts w:asciiTheme="minorHAnsi" w:hAnsiTheme="minorHAnsi" w:eastAsiaTheme="minorEastAsia" w:cstheme="minorBidi"/>
          <w:color w:val="auto"/>
          <w:szCs w:val="22"/>
          <w:highlight w:val="none"/>
        </w:rPr>
        <w:tab/>
      </w:r>
      <w:r>
        <w:rPr>
          <w:rStyle w:val="46"/>
          <w:rFonts w:hint="eastAsia"/>
          <w:color w:val="auto"/>
          <w:highlight w:val="none"/>
        </w:rPr>
        <w:t>计量与支付</w:t>
      </w:r>
      <w:r>
        <w:rPr>
          <w:color w:val="auto"/>
          <w:highlight w:val="none"/>
        </w:rPr>
        <w:tab/>
      </w:r>
      <w:r>
        <w:rPr>
          <w:color w:val="auto"/>
          <w:highlight w:val="none"/>
        </w:rPr>
        <w:fldChar w:fldCharType="begin"/>
      </w:r>
      <w:r>
        <w:rPr>
          <w:color w:val="auto"/>
          <w:highlight w:val="none"/>
        </w:rPr>
        <w:instrText xml:space="preserve"> PAGEREF _Toc133502185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"_Toc133502186" </w:instrText>
      </w:r>
      <w:r>
        <w:rPr>
          <w:color w:val="auto"/>
          <w:highlight w:val="none"/>
        </w:rPr>
        <w:fldChar w:fldCharType="separate"/>
      </w:r>
      <w:r>
        <w:rPr>
          <w:rStyle w:val="46"/>
          <w:snapToGrid w:val="0"/>
          <w:color w:val="auto"/>
          <w:kern w:val="0"/>
          <w:highlight w:val="none"/>
        </w:rPr>
        <w:t>18.</w:t>
      </w:r>
      <w:r>
        <w:rPr>
          <w:rFonts w:asciiTheme="minorHAnsi" w:hAnsiTheme="minorHAnsi" w:eastAsiaTheme="minorEastAsia" w:cstheme="minorBidi"/>
          <w:color w:val="auto"/>
          <w:szCs w:val="22"/>
          <w:highlight w:val="none"/>
        </w:rPr>
        <w:tab/>
      </w:r>
      <w:r>
        <w:rPr>
          <w:rStyle w:val="46"/>
          <w:rFonts w:hint="eastAsia"/>
          <w:color w:val="auto"/>
          <w:highlight w:val="none"/>
        </w:rPr>
        <w:t>竣工验收</w:t>
      </w:r>
      <w:r>
        <w:rPr>
          <w:color w:val="auto"/>
          <w:highlight w:val="none"/>
        </w:rPr>
        <w:tab/>
      </w:r>
      <w:r>
        <w:rPr>
          <w:color w:val="auto"/>
          <w:highlight w:val="none"/>
        </w:rPr>
        <w:fldChar w:fldCharType="begin"/>
      </w:r>
      <w:r>
        <w:rPr>
          <w:color w:val="auto"/>
          <w:highlight w:val="none"/>
        </w:rPr>
        <w:instrText xml:space="preserve"> PAGEREF _Toc133502186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"_Toc133502187" </w:instrText>
      </w:r>
      <w:r>
        <w:rPr>
          <w:color w:val="auto"/>
          <w:highlight w:val="none"/>
        </w:rPr>
        <w:fldChar w:fldCharType="separate"/>
      </w:r>
      <w:r>
        <w:rPr>
          <w:rStyle w:val="46"/>
          <w:snapToGrid w:val="0"/>
          <w:color w:val="auto"/>
          <w:kern w:val="0"/>
          <w:highlight w:val="none"/>
        </w:rPr>
        <w:t>19.</w:t>
      </w:r>
      <w:r>
        <w:rPr>
          <w:rFonts w:asciiTheme="minorHAnsi" w:hAnsiTheme="minorHAnsi" w:eastAsiaTheme="minorEastAsia" w:cstheme="minorBidi"/>
          <w:color w:val="auto"/>
          <w:szCs w:val="22"/>
          <w:highlight w:val="none"/>
        </w:rPr>
        <w:tab/>
      </w:r>
      <w:r>
        <w:rPr>
          <w:rStyle w:val="46"/>
          <w:rFonts w:hint="eastAsia"/>
          <w:color w:val="auto"/>
          <w:highlight w:val="none"/>
        </w:rPr>
        <w:t>缺陷责任与保修</w:t>
      </w:r>
      <w:r>
        <w:rPr>
          <w:color w:val="auto"/>
          <w:highlight w:val="none"/>
        </w:rPr>
        <w:tab/>
      </w:r>
      <w:r>
        <w:rPr>
          <w:color w:val="auto"/>
          <w:highlight w:val="none"/>
        </w:rPr>
        <w:fldChar w:fldCharType="begin"/>
      </w:r>
      <w:r>
        <w:rPr>
          <w:color w:val="auto"/>
          <w:highlight w:val="none"/>
        </w:rPr>
        <w:instrText xml:space="preserve"> PAGEREF _Toc133502187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"_Toc133502188" </w:instrText>
      </w:r>
      <w:r>
        <w:rPr>
          <w:color w:val="auto"/>
          <w:highlight w:val="none"/>
        </w:rPr>
        <w:fldChar w:fldCharType="separate"/>
      </w:r>
      <w:r>
        <w:rPr>
          <w:rStyle w:val="46"/>
          <w:snapToGrid w:val="0"/>
          <w:color w:val="auto"/>
          <w:kern w:val="0"/>
          <w:highlight w:val="none"/>
        </w:rPr>
        <w:t>20.</w:t>
      </w:r>
      <w:r>
        <w:rPr>
          <w:rFonts w:asciiTheme="minorHAnsi" w:hAnsiTheme="minorHAnsi" w:eastAsiaTheme="minorEastAsia" w:cstheme="minorBidi"/>
          <w:color w:val="auto"/>
          <w:szCs w:val="22"/>
          <w:highlight w:val="none"/>
        </w:rPr>
        <w:tab/>
      </w:r>
      <w:r>
        <w:rPr>
          <w:rStyle w:val="46"/>
          <w:rFonts w:hint="eastAsia"/>
          <w:color w:val="auto"/>
          <w:highlight w:val="none"/>
        </w:rPr>
        <w:t>保险</w:t>
      </w:r>
      <w:r>
        <w:rPr>
          <w:color w:val="auto"/>
          <w:highlight w:val="none"/>
        </w:rPr>
        <w:tab/>
      </w:r>
      <w:r>
        <w:rPr>
          <w:color w:val="auto"/>
          <w:highlight w:val="none"/>
        </w:rPr>
        <w:fldChar w:fldCharType="begin"/>
      </w:r>
      <w:r>
        <w:rPr>
          <w:color w:val="auto"/>
          <w:highlight w:val="none"/>
        </w:rPr>
        <w:instrText xml:space="preserve"> PAGEREF _Toc133502188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"_Toc133502189" </w:instrText>
      </w:r>
      <w:r>
        <w:rPr>
          <w:color w:val="auto"/>
          <w:highlight w:val="none"/>
        </w:rPr>
        <w:fldChar w:fldCharType="separate"/>
      </w:r>
      <w:r>
        <w:rPr>
          <w:rStyle w:val="46"/>
          <w:snapToGrid w:val="0"/>
          <w:color w:val="auto"/>
          <w:kern w:val="0"/>
          <w:highlight w:val="none"/>
        </w:rPr>
        <w:t>21.</w:t>
      </w:r>
      <w:r>
        <w:rPr>
          <w:rFonts w:asciiTheme="minorHAnsi" w:hAnsiTheme="minorHAnsi" w:eastAsiaTheme="minorEastAsia" w:cstheme="minorBidi"/>
          <w:color w:val="auto"/>
          <w:szCs w:val="22"/>
          <w:highlight w:val="none"/>
        </w:rPr>
        <w:tab/>
      </w:r>
      <w:r>
        <w:rPr>
          <w:rStyle w:val="46"/>
          <w:rFonts w:hint="eastAsia"/>
          <w:color w:val="auto"/>
          <w:highlight w:val="none"/>
        </w:rPr>
        <w:t>不可抗力</w:t>
      </w:r>
      <w:r>
        <w:rPr>
          <w:color w:val="auto"/>
          <w:highlight w:val="none"/>
        </w:rPr>
        <w:tab/>
      </w:r>
      <w:r>
        <w:rPr>
          <w:color w:val="auto"/>
          <w:highlight w:val="none"/>
        </w:rPr>
        <w:fldChar w:fldCharType="begin"/>
      </w:r>
      <w:r>
        <w:rPr>
          <w:color w:val="auto"/>
          <w:highlight w:val="none"/>
        </w:rPr>
        <w:instrText xml:space="preserve"> PAGEREF _Toc133502189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"_Toc133502190" </w:instrText>
      </w:r>
      <w:r>
        <w:rPr>
          <w:color w:val="auto"/>
          <w:highlight w:val="none"/>
        </w:rPr>
        <w:fldChar w:fldCharType="separate"/>
      </w:r>
      <w:r>
        <w:rPr>
          <w:rStyle w:val="46"/>
          <w:snapToGrid w:val="0"/>
          <w:color w:val="auto"/>
          <w:kern w:val="0"/>
          <w:highlight w:val="none"/>
        </w:rPr>
        <w:t>22.</w:t>
      </w:r>
      <w:r>
        <w:rPr>
          <w:rFonts w:asciiTheme="minorHAnsi" w:hAnsiTheme="minorHAnsi" w:eastAsiaTheme="minorEastAsia" w:cstheme="minorBidi"/>
          <w:color w:val="auto"/>
          <w:szCs w:val="22"/>
          <w:highlight w:val="none"/>
        </w:rPr>
        <w:tab/>
      </w:r>
      <w:r>
        <w:rPr>
          <w:rStyle w:val="46"/>
          <w:rFonts w:hint="eastAsia"/>
          <w:color w:val="auto"/>
          <w:highlight w:val="none"/>
        </w:rPr>
        <w:t>违约</w:t>
      </w:r>
      <w:r>
        <w:rPr>
          <w:color w:val="auto"/>
          <w:highlight w:val="none"/>
        </w:rPr>
        <w:tab/>
      </w:r>
      <w:r>
        <w:rPr>
          <w:color w:val="auto"/>
          <w:highlight w:val="none"/>
        </w:rPr>
        <w:fldChar w:fldCharType="begin"/>
      </w:r>
      <w:r>
        <w:rPr>
          <w:color w:val="auto"/>
          <w:highlight w:val="none"/>
        </w:rPr>
        <w:instrText xml:space="preserve"> PAGEREF _Toc133502190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"_Toc133502191" </w:instrText>
      </w:r>
      <w:r>
        <w:rPr>
          <w:color w:val="auto"/>
          <w:highlight w:val="none"/>
        </w:rPr>
        <w:fldChar w:fldCharType="separate"/>
      </w:r>
      <w:r>
        <w:rPr>
          <w:rStyle w:val="46"/>
          <w:snapToGrid w:val="0"/>
          <w:color w:val="auto"/>
          <w:kern w:val="0"/>
          <w:highlight w:val="none"/>
        </w:rPr>
        <w:t>23.</w:t>
      </w:r>
      <w:r>
        <w:rPr>
          <w:rFonts w:asciiTheme="minorHAnsi" w:hAnsiTheme="minorHAnsi" w:eastAsiaTheme="minorEastAsia" w:cstheme="minorBidi"/>
          <w:color w:val="auto"/>
          <w:szCs w:val="22"/>
          <w:highlight w:val="none"/>
        </w:rPr>
        <w:tab/>
      </w:r>
      <w:r>
        <w:rPr>
          <w:rStyle w:val="46"/>
          <w:rFonts w:hint="eastAsia"/>
          <w:color w:val="auto"/>
          <w:highlight w:val="none"/>
        </w:rPr>
        <w:t>争议的解决</w:t>
      </w:r>
      <w:r>
        <w:rPr>
          <w:color w:val="auto"/>
          <w:highlight w:val="none"/>
        </w:rPr>
        <w:tab/>
      </w:r>
      <w:r>
        <w:rPr>
          <w:color w:val="auto"/>
          <w:highlight w:val="none"/>
        </w:rPr>
        <w:fldChar w:fldCharType="begin"/>
      </w:r>
      <w:r>
        <w:rPr>
          <w:color w:val="auto"/>
          <w:highlight w:val="none"/>
        </w:rPr>
        <w:instrText xml:space="preserve"> PAGEREF _Toc133502191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"_Toc133502192" </w:instrText>
      </w:r>
      <w:r>
        <w:rPr>
          <w:color w:val="auto"/>
          <w:highlight w:val="none"/>
        </w:rPr>
        <w:fldChar w:fldCharType="separate"/>
      </w:r>
      <w:r>
        <w:rPr>
          <w:rStyle w:val="46"/>
          <w:rFonts w:hint="eastAsia"/>
          <w:color w:val="auto"/>
          <w:highlight w:val="none"/>
        </w:rPr>
        <w:t>第三部分</w:t>
      </w:r>
      <w:r>
        <w:rPr>
          <w:rStyle w:val="46"/>
          <w:color w:val="auto"/>
          <w:highlight w:val="none"/>
        </w:rPr>
        <w:t xml:space="preserve">  </w:t>
      </w:r>
      <w:r>
        <w:rPr>
          <w:rStyle w:val="46"/>
          <w:rFonts w:hint="eastAsia"/>
          <w:color w:val="auto"/>
          <w:highlight w:val="none"/>
        </w:rPr>
        <w:t>专用条款</w:t>
      </w:r>
      <w:r>
        <w:rPr>
          <w:color w:val="auto"/>
          <w:highlight w:val="none"/>
        </w:rPr>
        <w:tab/>
      </w:r>
      <w:r>
        <w:rPr>
          <w:color w:val="auto"/>
          <w:highlight w:val="none"/>
        </w:rPr>
        <w:fldChar w:fldCharType="begin"/>
      </w:r>
      <w:r>
        <w:rPr>
          <w:color w:val="auto"/>
          <w:highlight w:val="none"/>
        </w:rPr>
        <w:instrText xml:space="preserve"> PAGEREF _Toc133502192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"_Toc133502193" </w:instrText>
      </w:r>
      <w:r>
        <w:rPr>
          <w:color w:val="auto"/>
          <w:highlight w:val="none"/>
        </w:rPr>
        <w:fldChar w:fldCharType="separate"/>
      </w:r>
      <w:r>
        <w:rPr>
          <w:rStyle w:val="46"/>
          <w:color w:val="auto"/>
          <w:highlight w:val="none"/>
        </w:rPr>
        <w:t>1.</w:t>
      </w:r>
      <w:r>
        <w:rPr>
          <w:rFonts w:asciiTheme="minorHAnsi" w:hAnsiTheme="minorHAnsi" w:eastAsiaTheme="minorEastAsia" w:cstheme="minorBidi"/>
          <w:color w:val="auto"/>
          <w:szCs w:val="22"/>
          <w:highlight w:val="none"/>
        </w:rPr>
        <w:tab/>
      </w:r>
      <w:r>
        <w:rPr>
          <w:rStyle w:val="46"/>
          <w:rFonts w:hint="eastAsia"/>
          <w:color w:val="auto"/>
          <w:highlight w:val="none"/>
        </w:rPr>
        <w:t>一般约定</w:t>
      </w:r>
      <w:r>
        <w:rPr>
          <w:color w:val="auto"/>
          <w:highlight w:val="none"/>
        </w:rPr>
        <w:tab/>
      </w:r>
      <w:r>
        <w:rPr>
          <w:color w:val="auto"/>
          <w:highlight w:val="none"/>
        </w:rPr>
        <w:fldChar w:fldCharType="begin"/>
      </w:r>
      <w:r>
        <w:rPr>
          <w:color w:val="auto"/>
          <w:highlight w:val="none"/>
        </w:rPr>
        <w:instrText xml:space="preserve"> PAGEREF _Toc133502193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"_Toc133502194" </w:instrText>
      </w:r>
      <w:r>
        <w:rPr>
          <w:color w:val="auto"/>
          <w:highlight w:val="none"/>
        </w:rPr>
        <w:fldChar w:fldCharType="separate"/>
      </w:r>
      <w:r>
        <w:rPr>
          <w:rStyle w:val="46"/>
          <w:color w:val="auto"/>
          <w:highlight w:val="none"/>
        </w:rPr>
        <w:t>2.</w:t>
      </w:r>
      <w:r>
        <w:rPr>
          <w:rFonts w:asciiTheme="minorHAnsi" w:hAnsiTheme="minorHAnsi" w:eastAsiaTheme="minorEastAsia" w:cstheme="minorBidi"/>
          <w:color w:val="auto"/>
          <w:szCs w:val="22"/>
          <w:highlight w:val="none"/>
        </w:rPr>
        <w:tab/>
      </w:r>
      <w:r>
        <w:rPr>
          <w:rStyle w:val="46"/>
          <w:rFonts w:hint="eastAsia"/>
          <w:color w:val="auto"/>
          <w:highlight w:val="none"/>
        </w:rPr>
        <w:t>发包人</w:t>
      </w:r>
      <w:r>
        <w:rPr>
          <w:color w:val="auto"/>
          <w:highlight w:val="none"/>
        </w:rPr>
        <w:tab/>
      </w:r>
      <w:r>
        <w:rPr>
          <w:color w:val="auto"/>
          <w:highlight w:val="none"/>
        </w:rPr>
        <w:fldChar w:fldCharType="begin"/>
      </w:r>
      <w:r>
        <w:rPr>
          <w:color w:val="auto"/>
          <w:highlight w:val="none"/>
        </w:rPr>
        <w:instrText xml:space="preserve"> PAGEREF _Toc133502194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"_Toc133502195" </w:instrText>
      </w:r>
      <w:r>
        <w:rPr>
          <w:color w:val="auto"/>
          <w:highlight w:val="none"/>
        </w:rPr>
        <w:fldChar w:fldCharType="separate"/>
      </w:r>
      <w:r>
        <w:rPr>
          <w:rStyle w:val="46"/>
          <w:color w:val="auto"/>
          <w:highlight w:val="none"/>
        </w:rPr>
        <w:t>3.</w:t>
      </w:r>
      <w:r>
        <w:rPr>
          <w:rFonts w:asciiTheme="minorHAnsi" w:hAnsiTheme="minorHAnsi" w:eastAsiaTheme="minorEastAsia" w:cstheme="minorBidi"/>
          <w:color w:val="auto"/>
          <w:szCs w:val="22"/>
          <w:highlight w:val="none"/>
        </w:rPr>
        <w:tab/>
      </w:r>
      <w:r>
        <w:rPr>
          <w:rStyle w:val="46"/>
          <w:rFonts w:hint="eastAsia"/>
          <w:color w:val="auto"/>
          <w:highlight w:val="none"/>
        </w:rPr>
        <w:t>监理人及造价咨询人</w:t>
      </w:r>
      <w:r>
        <w:rPr>
          <w:color w:val="auto"/>
          <w:highlight w:val="none"/>
        </w:rPr>
        <w:tab/>
      </w:r>
      <w:r>
        <w:rPr>
          <w:color w:val="auto"/>
          <w:highlight w:val="none"/>
        </w:rPr>
        <w:fldChar w:fldCharType="begin"/>
      </w:r>
      <w:r>
        <w:rPr>
          <w:color w:val="auto"/>
          <w:highlight w:val="none"/>
        </w:rPr>
        <w:instrText xml:space="preserve"> PAGEREF _Toc133502195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"_Toc133502196" </w:instrText>
      </w:r>
      <w:r>
        <w:rPr>
          <w:color w:val="auto"/>
          <w:highlight w:val="none"/>
        </w:rPr>
        <w:fldChar w:fldCharType="separate"/>
      </w:r>
      <w:r>
        <w:rPr>
          <w:rStyle w:val="46"/>
          <w:color w:val="auto"/>
          <w:highlight w:val="none"/>
        </w:rPr>
        <w:t>4.</w:t>
      </w:r>
      <w:r>
        <w:rPr>
          <w:rFonts w:asciiTheme="minorHAnsi" w:hAnsiTheme="minorHAnsi" w:eastAsiaTheme="minorEastAsia" w:cstheme="minorBidi"/>
          <w:color w:val="auto"/>
          <w:szCs w:val="22"/>
          <w:highlight w:val="none"/>
        </w:rPr>
        <w:tab/>
      </w:r>
      <w:r>
        <w:rPr>
          <w:rStyle w:val="46"/>
          <w:rFonts w:hint="eastAsia"/>
          <w:color w:val="auto"/>
          <w:highlight w:val="none"/>
        </w:rPr>
        <w:t>承包人</w:t>
      </w:r>
      <w:r>
        <w:rPr>
          <w:color w:val="auto"/>
          <w:highlight w:val="none"/>
        </w:rPr>
        <w:tab/>
      </w:r>
      <w:r>
        <w:rPr>
          <w:color w:val="auto"/>
          <w:highlight w:val="none"/>
        </w:rPr>
        <w:fldChar w:fldCharType="begin"/>
      </w:r>
      <w:r>
        <w:rPr>
          <w:color w:val="auto"/>
          <w:highlight w:val="none"/>
        </w:rPr>
        <w:instrText xml:space="preserve"> PAGEREF _Toc133502196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"_Toc133502197" </w:instrText>
      </w:r>
      <w:r>
        <w:rPr>
          <w:color w:val="auto"/>
          <w:highlight w:val="none"/>
        </w:rPr>
        <w:fldChar w:fldCharType="separate"/>
      </w:r>
      <w:r>
        <w:rPr>
          <w:rStyle w:val="46"/>
          <w:color w:val="auto"/>
          <w:highlight w:val="none"/>
        </w:rPr>
        <w:t>5.</w:t>
      </w:r>
      <w:r>
        <w:rPr>
          <w:rFonts w:asciiTheme="minorHAnsi" w:hAnsiTheme="minorHAnsi" w:eastAsiaTheme="minorEastAsia" w:cstheme="minorBidi"/>
          <w:color w:val="auto"/>
          <w:szCs w:val="22"/>
          <w:highlight w:val="none"/>
        </w:rPr>
        <w:tab/>
      </w:r>
      <w:r>
        <w:rPr>
          <w:rStyle w:val="46"/>
          <w:rFonts w:hint="eastAsia"/>
          <w:color w:val="auto"/>
          <w:highlight w:val="none"/>
        </w:rPr>
        <w:t>材料和工程设备</w:t>
      </w:r>
      <w:r>
        <w:rPr>
          <w:color w:val="auto"/>
          <w:highlight w:val="none"/>
        </w:rPr>
        <w:tab/>
      </w:r>
      <w:r>
        <w:rPr>
          <w:color w:val="auto"/>
          <w:highlight w:val="none"/>
        </w:rPr>
        <w:fldChar w:fldCharType="begin"/>
      </w:r>
      <w:r>
        <w:rPr>
          <w:color w:val="auto"/>
          <w:highlight w:val="none"/>
        </w:rPr>
        <w:instrText xml:space="preserve"> PAGEREF _Toc133502197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"_Toc133502198" </w:instrText>
      </w:r>
      <w:r>
        <w:rPr>
          <w:color w:val="auto"/>
          <w:highlight w:val="none"/>
        </w:rPr>
        <w:fldChar w:fldCharType="separate"/>
      </w:r>
      <w:r>
        <w:rPr>
          <w:rStyle w:val="46"/>
          <w:color w:val="auto"/>
          <w:highlight w:val="none"/>
        </w:rPr>
        <w:t>6.</w:t>
      </w:r>
      <w:r>
        <w:rPr>
          <w:rFonts w:asciiTheme="minorHAnsi" w:hAnsiTheme="minorHAnsi" w:eastAsiaTheme="minorEastAsia" w:cstheme="minorBidi"/>
          <w:color w:val="auto"/>
          <w:szCs w:val="22"/>
          <w:highlight w:val="none"/>
        </w:rPr>
        <w:tab/>
      </w:r>
      <w:r>
        <w:rPr>
          <w:rStyle w:val="46"/>
          <w:rFonts w:hint="eastAsia"/>
          <w:color w:val="auto"/>
          <w:highlight w:val="none"/>
        </w:rPr>
        <w:t>施工设备和临时设施</w:t>
      </w:r>
      <w:r>
        <w:rPr>
          <w:color w:val="auto"/>
          <w:highlight w:val="none"/>
        </w:rPr>
        <w:tab/>
      </w:r>
      <w:r>
        <w:rPr>
          <w:color w:val="auto"/>
          <w:highlight w:val="none"/>
        </w:rPr>
        <w:fldChar w:fldCharType="begin"/>
      </w:r>
      <w:r>
        <w:rPr>
          <w:color w:val="auto"/>
          <w:highlight w:val="none"/>
        </w:rPr>
        <w:instrText xml:space="preserve"> PAGEREF _Toc133502198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"_Toc133502199" </w:instrText>
      </w:r>
      <w:r>
        <w:rPr>
          <w:color w:val="auto"/>
          <w:highlight w:val="none"/>
        </w:rPr>
        <w:fldChar w:fldCharType="separate"/>
      </w:r>
      <w:r>
        <w:rPr>
          <w:rStyle w:val="46"/>
          <w:color w:val="auto"/>
          <w:highlight w:val="none"/>
        </w:rPr>
        <w:t>7.</w:t>
      </w:r>
      <w:r>
        <w:rPr>
          <w:rFonts w:asciiTheme="minorHAnsi" w:hAnsiTheme="minorHAnsi" w:eastAsiaTheme="minorEastAsia" w:cstheme="minorBidi"/>
          <w:color w:val="auto"/>
          <w:szCs w:val="22"/>
          <w:highlight w:val="none"/>
        </w:rPr>
        <w:tab/>
      </w:r>
      <w:r>
        <w:rPr>
          <w:rStyle w:val="46"/>
          <w:rFonts w:hint="eastAsia"/>
          <w:color w:val="auto"/>
          <w:highlight w:val="none"/>
        </w:rPr>
        <w:t>交通运输</w:t>
      </w:r>
      <w:r>
        <w:rPr>
          <w:color w:val="auto"/>
          <w:highlight w:val="none"/>
        </w:rPr>
        <w:tab/>
      </w:r>
      <w:r>
        <w:rPr>
          <w:color w:val="auto"/>
          <w:highlight w:val="none"/>
        </w:rPr>
        <w:fldChar w:fldCharType="begin"/>
      </w:r>
      <w:r>
        <w:rPr>
          <w:color w:val="auto"/>
          <w:highlight w:val="none"/>
        </w:rPr>
        <w:instrText xml:space="preserve"> PAGEREF _Toc133502199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"_Toc133502200" </w:instrText>
      </w:r>
      <w:r>
        <w:rPr>
          <w:color w:val="auto"/>
          <w:highlight w:val="none"/>
        </w:rPr>
        <w:fldChar w:fldCharType="separate"/>
      </w:r>
      <w:r>
        <w:rPr>
          <w:rStyle w:val="46"/>
          <w:color w:val="auto"/>
          <w:highlight w:val="none"/>
        </w:rPr>
        <w:t>8.</w:t>
      </w:r>
      <w:r>
        <w:rPr>
          <w:rFonts w:asciiTheme="minorHAnsi" w:hAnsiTheme="minorHAnsi" w:eastAsiaTheme="minorEastAsia" w:cstheme="minorBidi"/>
          <w:color w:val="auto"/>
          <w:szCs w:val="22"/>
          <w:highlight w:val="none"/>
        </w:rPr>
        <w:tab/>
      </w:r>
      <w:r>
        <w:rPr>
          <w:rStyle w:val="46"/>
          <w:rFonts w:hint="eastAsia"/>
          <w:color w:val="auto"/>
          <w:highlight w:val="none"/>
        </w:rPr>
        <w:t>测量放线</w:t>
      </w:r>
      <w:r>
        <w:rPr>
          <w:color w:val="auto"/>
          <w:highlight w:val="none"/>
        </w:rPr>
        <w:tab/>
      </w:r>
      <w:r>
        <w:rPr>
          <w:color w:val="auto"/>
          <w:highlight w:val="none"/>
        </w:rPr>
        <w:fldChar w:fldCharType="begin"/>
      </w:r>
      <w:r>
        <w:rPr>
          <w:color w:val="auto"/>
          <w:highlight w:val="none"/>
        </w:rPr>
        <w:instrText xml:space="preserve"> PAGEREF _Toc133502200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"_Toc133502201" </w:instrText>
      </w:r>
      <w:r>
        <w:rPr>
          <w:color w:val="auto"/>
          <w:highlight w:val="none"/>
        </w:rPr>
        <w:fldChar w:fldCharType="separate"/>
      </w:r>
      <w:r>
        <w:rPr>
          <w:rStyle w:val="46"/>
          <w:color w:val="auto"/>
          <w:highlight w:val="none"/>
        </w:rPr>
        <w:t>9.</w:t>
      </w:r>
      <w:r>
        <w:rPr>
          <w:rFonts w:asciiTheme="minorHAnsi" w:hAnsiTheme="minorHAnsi" w:eastAsiaTheme="minorEastAsia" w:cstheme="minorBidi"/>
          <w:color w:val="auto"/>
          <w:szCs w:val="22"/>
          <w:highlight w:val="none"/>
        </w:rPr>
        <w:tab/>
      </w:r>
      <w:r>
        <w:rPr>
          <w:rStyle w:val="46"/>
          <w:rFonts w:hint="eastAsia"/>
          <w:color w:val="auto"/>
          <w:highlight w:val="none"/>
        </w:rPr>
        <w:t>施工安全、治安保卫和环境保护</w:t>
      </w:r>
      <w:r>
        <w:rPr>
          <w:color w:val="auto"/>
          <w:highlight w:val="none"/>
        </w:rPr>
        <w:tab/>
      </w:r>
      <w:r>
        <w:rPr>
          <w:color w:val="auto"/>
          <w:highlight w:val="none"/>
        </w:rPr>
        <w:fldChar w:fldCharType="begin"/>
      </w:r>
      <w:r>
        <w:rPr>
          <w:color w:val="auto"/>
          <w:highlight w:val="none"/>
        </w:rPr>
        <w:instrText xml:space="preserve"> PAGEREF _Toc133502201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"_Toc133502202" </w:instrText>
      </w:r>
      <w:r>
        <w:rPr>
          <w:color w:val="auto"/>
          <w:highlight w:val="none"/>
        </w:rPr>
        <w:fldChar w:fldCharType="separate"/>
      </w:r>
      <w:r>
        <w:rPr>
          <w:rStyle w:val="46"/>
          <w:color w:val="auto"/>
          <w:highlight w:val="none"/>
        </w:rPr>
        <w:t>10.</w:t>
      </w:r>
      <w:r>
        <w:rPr>
          <w:rFonts w:asciiTheme="minorHAnsi" w:hAnsiTheme="minorHAnsi" w:eastAsiaTheme="minorEastAsia" w:cstheme="minorBidi"/>
          <w:color w:val="auto"/>
          <w:szCs w:val="22"/>
          <w:highlight w:val="none"/>
        </w:rPr>
        <w:tab/>
      </w:r>
      <w:r>
        <w:rPr>
          <w:rStyle w:val="46"/>
          <w:rFonts w:hint="eastAsia"/>
          <w:color w:val="auto"/>
          <w:highlight w:val="none"/>
        </w:rPr>
        <w:t>进度计划</w:t>
      </w:r>
      <w:r>
        <w:rPr>
          <w:color w:val="auto"/>
          <w:highlight w:val="none"/>
        </w:rPr>
        <w:tab/>
      </w:r>
      <w:r>
        <w:rPr>
          <w:color w:val="auto"/>
          <w:highlight w:val="none"/>
        </w:rPr>
        <w:fldChar w:fldCharType="begin"/>
      </w:r>
      <w:r>
        <w:rPr>
          <w:color w:val="auto"/>
          <w:highlight w:val="none"/>
        </w:rPr>
        <w:instrText xml:space="preserve"> PAGEREF _Toc133502202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"_Toc133502203" </w:instrText>
      </w:r>
      <w:r>
        <w:rPr>
          <w:color w:val="auto"/>
          <w:highlight w:val="none"/>
        </w:rPr>
        <w:fldChar w:fldCharType="separate"/>
      </w:r>
      <w:r>
        <w:rPr>
          <w:rStyle w:val="46"/>
          <w:color w:val="auto"/>
          <w:highlight w:val="none"/>
        </w:rPr>
        <w:t>11.</w:t>
      </w:r>
      <w:r>
        <w:rPr>
          <w:rFonts w:asciiTheme="minorHAnsi" w:hAnsiTheme="minorHAnsi" w:eastAsiaTheme="minorEastAsia" w:cstheme="minorBidi"/>
          <w:color w:val="auto"/>
          <w:szCs w:val="22"/>
          <w:highlight w:val="none"/>
        </w:rPr>
        <w:tab/>
      </w:r>
      <w:r>
        <w:rPr>
          <w:rStyle w:val="46"/>
          <w:rFonts w:hint="eastAsia"/>
          <w:color w:val="auto"/>
          <w:highlight w:val="none"/>
        </w:rPr>
        <w:t>开工和竣工</w:t>
      </w:r>
      <w:r>
        <w:rPr>
          <w:color w:val="auto"/>
          <w:highlight w:val="none"/>
        </w:rPr>
        <w:tab/>
      </w:r>
      <w:r>
        <w:rPr>
          <w:color w:val="auto"/>
          <w:highlight w:val="none"/>
        </w:rPr>
        <w:fldChar w:fldCharType="begin"/>
      </w:r>
      <w:r>
        <w:rPr>
          <w:color w:val="auto"/>
          <w:highlight w:val="none"/>
        </w:rPr>
        <w:instrText xml:space="preserve"> PAGEREF _Toc133502203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"_Toc133502204" </w:instrText>
      </w:r>
      <w:r>
        <w:rPr>
          <w:color w:val="auto"/>
          <w:highlight w:val="none"/>
        </w:rPr>
        <w:fldChar w:fldCharType="separate"/>
      </w:r>
      <w:r>
        <w:rPr>
          <w:rStyle w:val="46"/>
          <w:color w:val="auto"/>
          <w:highlight w:val="none"/>
        </w:rPr>
        <w:t>12.</w:t>
      </w:r>
      <w:r>
        <w:rPr>
          <w:rFonts w:asciiTheme="minorHAnsi" w:hAnsiTheme="minorHAnsi" w:eastAsiaTheme="minorEastAsia" w:cstheme="minorBidi"/>
          <w:color w:val="auto"/>
          <w:szCs w:val="22"/>
          <w:highlight w:val="none"/>
        </w:rPr>
        <w:tab/>
      </w:r>
      <w:r>
        <w:rPr>
          <w:rStyle w:val="46"/>
          <w:rFonts w:hint="eastAsia"/>
          <w:color w:val="auto"/>
          <w:highlight w:val="none"/>
        </w:rPr>
        <w:t>暂停施工</w:t>
      </w:r>
      <w:r>
        <w:rPr>
          <w:color w:val="auto"/>
          <w:highlight w:val="none"/>
        </w:rPr>
        <w:tab/>
      </w:r>
      <w:r>
        <w:rPr>
          <w:color w:val="auto"/>
          <w:highlight w:val="none"/>
        </w:rPr>
        <w:fldChar w:fldCharType="begin"/>
      </w:r>
      <w:r>
        <w:rPr>
          <w:color w:val="auto"/>
          <w:highlight w:val="none"/>
        </w:rPr>
        <w:instrText xml:space="preserve"> PAGEREF _Toc133502204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"_Toc133502205" </w:instrText>
      </w:r>
      <w:r>
        <w:rPr>
          <w:color w:val="auto"/>
          <w:highlight w:val="none"/>
        </w:rPr>
        <w:fldChar w:fldCharType="separate"/>
      </w:r>
      <w:r>
        <w:rPr>
          <w:rStyle w:val="46"/>
          <w:color w:val="auto"/>
          <w:highlight w:val="none"/>
        </w:rPr>
        <w:t>13.</w:t>
      </w:r>
      <w:r>
        <w:rPr>
          <w:rFonts w:asciiTheme="minorHAnsi" w:hAnsiTheme="minorHAnsi" w:eastAsiaTheme="minorEastAsia" w:cstheme="minorBidi"/>
          <w:color w:val="auto"/>
          <w:szCs w:val="22"/>
          <w:highlight w:val="none"/>
        </w:rPr>
        <w:tab/>
      </w:r>
      <w:r>
        <w:rPr>
          <w:rStyle w:val="46"/>
          <w:rFonts w:hint="eastAsia"/>
          <w:color w:val="auto"/>
          <w:highlight w:val="none"/>
        </w:rPr>
        <w:t>工程质量</w:t>
      </w:r>
      <w:r>
        <w:rPr>
          <w:color w:val="auto"/>
          <w:highlight w:val="none"/>
        </w:rPr>
        <w:tab/>
      </w:r>
      <w:r>
        <w:rPr>
          <w:color w:val="auto"/>
          <w:highlight w:val="none"/>
        </w:rPr>
        <w:fldChar w:fldCharType="begin"/>
      </w:r>
      <w:r>
        <w:rPr>
          <w:color w:val="auto"/>
          <w:highlight w:val="none"/>
        </w:rPr>
        <w:instrText xml:space="preserve"> PAGEREF _Toc133502205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"_Toc133502206" </w:instrText>
      </w:r>
      <w:r>
        <w:rPr>
          <w:color w:val="auto"/>
          <w:highlight w:val="none"/>
        </w:rPr>
        <w:fldChar w:fldCharType="separate"/>
      </w:r>
      <w:r>
        <w:rPr>
          <w:rStyle w:val="46"/>
          <w:color w:val="auto"/>
          <w:highlight w:val="none"/>
        </w:rPr>
        <w:t>14.</w:t>
      </w:r>
      <w:r>
        <w:rPr>
          <w:rFonts w:asciiTheme="minorHAnsi" w:hAnsiTheme="minorHAnsi" w:eastAsiaTheme="minorEastAsia" w:cstheme="minorBidi"/>
          <w:color w:val="auto"/>
          <w:szCs w:val="22"/>
          <w:highlight w:val="none"/>
        </w:rPr>
        <w:tab/>
      </w:r>
      <w:r>
        <w:rPr>
          <w:rStyle w:val="46"/>
          <w:rFonts w:hint="eastAsia"/>
          <w:color w:val="auto"/>
          <w:highlight w:val="none"/>
        </w:rPr>
        <w:t>试验和检验</w:t>
      </w:r>
      <w:r>
        <w:rPr>
          <w:color w:val="auto"/>
          <w:highlight w:val="none"/>
        </w:rPr>
        <w:tab/>
      </w:r>
      <w:r>
        <w:rPr>
          <w:color w:val="auto"/>
          <w:highlight w:val="none"/>
        </w:rPr>
        <w:fldChar w:fldCharType="begin"/>
      </w:r>
      <w:r>
        <w:rPr>
          <w:color w:val="auto"/>
          <w:highlight w:val="none"/>
        </w:rPr>
        <w:instrText xml:space="preserve"> PAGEREF _Toc133502206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"_Toc133502207" </w:instrText>
      </w:r>
      <w:r>
        <w:rPr>
          <w:color w:val="auto"/>
          <w:highlight w:val="none"/>
        </w:rPr>
        <w:fldChar w:fldCharType="separate"/>
      </w:r>
      <w:r>
        <w:rPr>
          <w:rStyle w:val="46"/>
          <w:color w:val="auto"/>
          <w:highlight w:val="none"/>
        </w:rPr>
        <w:t>15.</w:t>
      </w:r>
      <w:r>
        <w:rPr>
          <w:rFonts w:asciiTheme="minorHAnsi" w:hAnsiTheme="minorHAnsi" w:eastAsiaTheme="minorEastAsia" w:cstheme="minorBidi"/>
          <w:color w:val="auto"/>
          <w:szCs w:val="22"/>
          <w:highlight w:val="none"/>
        </w:rPr>
        <w:tab/>
      </w:r>
      <w:r>
        <w:rPr>
          <w:rStyle w:val="46"/>
          <w:rFonts w:hint="eastAsia"/>
          <w:color w:val="auto"/>
          <w:highlight w:val="none"/>
        </w:rPr>
        <w:t>变更</w:t>
      </w:r>
      <w:r>
        <w:rPr>
          <w:color w:val="auto"/>
          <w:highlight w:val="none"/>
        </w:rPr>
        <w:tab/>
      </w:r>
      <w:r>
        <w:rPr>
          <w:color w:val="auto"/>
          <w:highlight w:val="none"/>
        </w:rPr>
        <w:fldChar w:fldCharType="begin"/>
      </w:r>
      <w:r>
        <w:rPr>
          <w:color w:val="auto"/>
          <w:highlight w:val="none"/>
        </w:rPr>
        <w:instrText xml:space="preserve"> PAGEREF _Toc133502207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"_Toc133502208" </w:instrText>
      </w:r>
      <w:r>
        <w:rPr>
          <w:color w:val="auto"/>
          <w:highlight w:val="none"/>
        </w:rPr>
        <w:fldChar w:fldCharType="separate"/>
      </w:r>
      <w:r>
        <w:rPr>
          <w:rStyle w:val="46"/>
          <w:color w:val="auto"/>
          <w:highlight w:val="none"/>
        </w:rPr>
        <w:t>16.</w:t>
      </w:r>
      <w:r>
        <w:rPr>
          <w:rFonts w:asciiTheme="minorHAnsi" w:hAnsiTheme="minorHAnsi" w:eastAsiaTheme="minorEastAsia" w:cstheme="minorBidi"/>
          <w:color w:val="auto"/>
          <w:szCs w:val="22"/>
          <w:highlight w:val="none"/>
        </w:rPr>
        <w:tab/>
      </w:r>
      <w:r>
        <w:rPr>
          <w:rStyle w:val="46"/>
          <w:rFonts w:hint="eastAsia"/>
          <w:color w:val="auto"/>
          <w:highlight w:val="none"/>
        </w:rPr>
        <w:t>价格调整</w:t>
      </w:r>
      <w:r>
        <w:rPr>
          <w:color w:val="auto"/>
          <w:highlight w:val="none"/>
        </w:rPr>
        <w:tab/>
      </w:r>
      <w:r>
        <w:rPr>
          <w:color w:val="auto"/>
          <w:highlight w:val="none"/>
        </w:rPr>
        <w:fldChar w:fldCharType="begin"/>
      </w:r>
      <w:r>
        <w:rPr>
          <w:color w:val="auto"/>
          <w:highlight w:val="none"/>
        </w:rPr>
        <w:instrText xml:space="preserve"> PAGEREF _Toc133502208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30"/>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"_Toc133502209" </w:instrText>
      </w:r>
      <w:r>
        <w:rPr>
          <w:color w:val="auto"/>
          <w:highlight w:val="none"/>
        </w:rPr>
        <w:fldChar w:fldCharType="separate"/>
      </w:r>
      <w:r>
        <w:rPr>
          <w:rStyle w:val="46"/>
          <w:color w:val="auto"/>
          <w:highlight w:val="none"/>
        </w:rPr>
        <w:t>17.</w:t>
      </w:r>
      <w:r>
        <w:rPr>
          <w:rFonts w:asciiTheme="minorHAnsi" w:hAnsiTheme="minorHAnsi" w:eastAsiaTheme="minorEastAsia" w:cstheme="minorBidi"/>
          <w:color w:val="auto"/>
          <w:szCs w:val="22"/>
          <w:highlight w:val="none"/>
        </w:rPr>
        <w:tab/>
      </w:r>
      <w:r>
        <w:rPr>
          <w:rStyle w:val="46"/>
          <w:rFonts w:hint="eastAsia"/>
          <w:color w:val="auto"/>
          <w:highlight w:val="none"/>
        </w:rPr>
        <w:t>计量与支付</w:t>
      </w:r>
      <w:r>
        <w:rPr>
          <w:color w:val="auto"/>
          <w:highlight w:val="none"/>
        </w:rPr>
        <w:tab/>
      </w:r>
      <w:r>
        <w:rPr>
          <w:rFonts w:hint="eastAsia"/>
          <w:color w:val="auto"/>
          <w:highlight w:val="none"/>
        </w:rPr>
        <w:t>6</w:t>
      </w:r>
      <w:r>
        <w:rPr>
          <w:rFonts w:hint="eastAsia"/>
          <w:color w:val="auto"/>
          <w:highlight w:val="none"/>
        </w:rPr>
        <w:fldChar w:fldCharType="end"/>
      </w:r>
      <w:r>
        <w:rPr>
          <w:rFonts w:hint="eastAsia"/>
          <w:color w:val="auto"/>
          <w:highlight w:val="none"/>
        </w:rPr>
        <w:t>2</w:t>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"_Toc133502210" </w:instrText>
      </w:r>
      <w:r>
        <w:rPr>
          <w:color w:val="auto"/>
          <w:highlight w:val="none"/>
        </w:rPr>
        <w:fldChar w:fldCharType="separate"/>
      </w:r>
      <w:r>
        <w:rPr>
          <w:rStyle w:val="46"/>
          <w:color w:val="auto"/>
          <w:highlight w:val="none"/>
        </w:rPr>
        <w:t>18.</w:t>
      </w:r>
      <w:r>
        <w:rPr>
          <w:rFonts w:asciiTheme="minorHAnsi" w:hAnsiTheme="minorHAnsi" w:eastAsiaTheme="minorEastAsia" w:cstheme="minorBidi"/>
          <w:color w:val="auto"/>
          <w:szCs w:val="22"/>
          <w:highlight w:val="none"/>
        </w:rPr>
        <w:tab/>
      </w:r>
      <w:r>
        <w:rPr>
          <w:rStyle w:val="46"/>
          <w:rFonts w:hint="eastAsia"/>
          <w:color w:val="auto"/>
          <w:highlight w:val="none"/>
        </w:rPr>
        <w:t>竣工验收</w:t>
      </w:r>
      <w:r>
        <w:rPr>
          <w:color w:val="auto"/>
          <w:highlight w:val="none"/>
        </w:rPr>
        <w:tab/>
      </w:r>
      <w:r>
        <w:rPr>
          <w:color w:val="auto"/>
          <w:highlight w:val="none"/>
        </w:rPr>
        <w:fldChar w:fldCharType="begin"/>
      </w:r>
      <w:r>
        <w:rPr>
          <w:color w:val="auto"/>
          <w:highlight w:val="none"/>
        </w:rPr>
        <w:instrText xml:space="preserve"> PAGEREF _Toc133502210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"_Toc133502211" </w:instrText>
      </w:r>
      <w:r>
        <w:rPr>
          <w:color w:val="auto"/>
          <w:highlight w:val="none"/>
        </w:rPr>
        <w:fldChar w:fldCharType="separate"/>
      </w:r>
      <w:r>
        <w:rPr>
          <w:rStyle w:val="46"/>
          <w:color w:val="auto"/>
          <w:highlight w:val="none"/>
        </w:rPr>
        <w:t>19.</w:t>
      </w:r>
      <w:r>
        <w:rPr>
          <w:rFonts w:asciiTheme="minorHAnsi" w:hAnsiTheme="minorHAnsi" w:eastAsiaTheme="minorEastAsia" w:cstheme="minorBidi"/>
          <w:color w:val="auto"/>
          <w:szCs w:val="22"/>
          <w:highlight w:val="none"/>
        </w:rPr>
        <w:tab/>
      </w:r>
      <w:r>
        <w:rPr>
          <w:rStyle w:val="46"/>
          <w:rFonts w:hint="eastAsia"/>
          <w:color w:val="auto"/>
          <w:highlight w:val="none"/>
        </w:rPr>
        <w:t>缺陷责任</w:t>
      </w:r>
      <w:r>
        <w:rPr>
          <w:color w:val="auto"/>
          <w:highlight w:val="none"/>
        </w:rPr>
        <w:tab/>
      </w:r>
      <w:r>
        <w:rPr>
          <w:color w:val="auto"/>
          <w:highlight w:val="none"/>
        </w:rPr>
        <w:fldChar w:fldCharType="begin"/>
      </w:r>
      <w:r>
        <w:rPr>
          <w:color w:val="auto"/>
          <w:highlight w:val="none"/>
        </w:rPr>
        <w:instrText xml:space="preserve"> PAGEREF _Toc133502211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"_Toc133502212" </w:instrText>
      </w:r>
      <w:r>
        <w:rPr>
          <w:color w:val="auto"/>
          <w:highlight w:val="none"/>
        </w:rPr>
        <w:fldChar w:fldCharType="separate"/>
      </w:r>
      <w:r>
        <w:rPr>
          <w:rStyle w:val="46"/>
          <w:color w:val="auto"/>
          <w:highlight w:val="none"/>
        </w:rPr>
        <w:t>20.</w:t>
      </w:r>
      <w:r>
        <w:rPr>
          <w:rFonts w:asciiTheme="minorHAnsi" w:hAnsiTheme="minorHAnsi" w:eastAsiaTheme="minorEastAsia" w:cstheme="minorBidi"/>
          <w:color w:val="auto"/>
          <w:szCs w:val="22"/>
          <w:highlight w:val="none"/>
        </w:rPr>
        <w:tab/>
      </w:r>
      <w:r>
        <w:rPr>
          <w:rStyle w:val="46"/>
          <w:rFonts w:hint="eastAsia"/>
          <w:color w:val="auto"/>
          <w:highlight w:val="none"/>
        </w:rPr>
        <w:t>保险</w:t>
      </w:r>
      <w:r>
        <w:rPr>
          <w:color w:val="auto"/>
          <w:highlight w:val="none"/>
        </w:rPr>
        <w:tab/>
      </w:r>
      <w:r>
        <w:rPr>
          <w:color w:val="auto"/>
          <w:highlight w:val="none"/>
        </w:rPr>
        <w:fldChar w:fldCharType="begin"/>
      </w:r>
      <w:r>
        <w:rPr>
          <w:color w:val="auto"/>
          <w:highlight w:val="none"/>
        </w:rPr>
        <w:instrText xml:space="preserve"> PAGEREF _Toc133502212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"_Toc133502213" </w:instrText>
      </w:r>
      <w:r>
        <w:rPr>
          <w:color w:val="auto"/>
          <w:highlight w:val="none"/>
        </w:rPr>
        <w:fldChar w:fldCharType="separate"/>
      </w:r>
      <w:r>
        <w:rPr>
          <w:rStyle w:val="46"/>
          <w:color w:val="auto"/>
          <w:highlight w:val="none"/>
        </w:rPr>
        <w:t>21.</w:t>
      </w:r>
      <w:r>
        <w:rPr>
          <w:rFonts w:asciiTheme="minorHAnsi" w:hAnsiTheme="minorHAnsi" w:eastAsiaTheme="minorEastAsia" w:cstheme="minorBidi"/>
          <w:color w:val="auto"/>
          <w:szCs w:val="22"/>
          <w:highlight w:val="none"/>
        </w:rPr>
        <w:tab/>
      </w:r>
      <w:r>
        <w:rPr>
          <w:rStyle w:val="46"/>
          <w:rFonts w:hint="eastAsia"/>
          <w:color w:val="auto"/>
          <w:highlight w:val="none"/>
        </w:rPr>
        <w:t>不可抗力</w:t>
      </w:r>
      <w:r>
        <w:rPr>
          <w:color w:val="auto"/>
          <w:highlight w:val="none"/>
        </w:rPr>
        <w:tab/>
      </w:r>
      <w:r>
        <w:rPr>
          <w:color w:val="auto"/>
          <w:highlight w:val="none"/>
        </w:rPr>
        <w:fldChar w:fldCharType="begin"/>
      </w:r>
      <w:r>
        <w:rPr>
          <w:color w:val="auto"/>
          <w:highlight w:val="none"/>
        </w:rPr>
        <w:instrText xml:space="preserve"> PAGEREF _Toc133502213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"_Toc133502214" </w:instrText>
      </w:r>
      <w:r>
        <w:rPr>
          <w:color w:val="auto"/>
          <w:highlight w:val="none"/>
        </w:rPr>
        <w:fldChar w:fldCharType="separate"/>
      </w:r>
      <w:r>
        <w:rPr>
          <w:rStyle w:val="46"/>
          <w:color w:val="auto"/>
          <w:highlight w:val="none"/>
        </w:rPr>
        <w:t>22.</w:t>
      </w:r>
      <w:r>
        <w:rPr>
          <w:rFonts w:asciiTheme="minorHAnsi" w:hAnsiTheme="minorHAnsi" w:eastAsiaTheme="minorEastAsia" w:cstheme="minorBidi"/>
          <w:color w:val="auto"/>
          <w:szCs w:val="22"/>
          <w:highlight w:val="none"/>
        </w:rPr>
        <w:tab/>
      </w:r>
      <w:r>
        <w:rPr>
          <w:rStyle w:val="46"/>
          <w:rFonts w:hint="eastAsia"/>
          <w:color w:val="auto"/>
          <w:highlight w:val="none"/>
        </w:rPr>
        <w:t>违约</w:t>
      </w:r>
      <w:r>
        <w:rPr>
          <w:color w:val="auto"/>
          <w:highlight w:val="none"/>
        </w:rPr>
        <w:tab/>
      </w:r>
      <w:r>
        <w:rPr>
          <w:color w:val="auto"/>
          <w:highlight w:val="none"/>
        </w:rPr>
        <w:fldChar w:fldCharType="begin"/>
      </w:r>
      <w:r>
        <w:rPr>
          <w:color w:val="auto"/>
          <w:highlight w:val="none"/>
        </w:rPr>
        <w:instrText xml:space="preserve"> PAGEREF _Toc133502214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"_Toc133502215" </w:instrText>
      </w:r>
      <w:r>
        <w:rPr>
          <w:color w:val="auto"/>
          <w:highlight w:val="none"/>
        </w:rPr>
        <w:fldChar w:fldCharType="separate"/>
      </w:r>
      <w:r>
        <w:rPr>
          <w:rStyle w:val="46"/>
          <w:color w:val="auto"/>
          <w:highlight w:val="none"/>
        </w:rPr>
        <w:t>23.</w:t>
      </w:r>
      <w:r>
        <w:rPr>
          <w:rFonts w:asciiTheme="minorHAnsi" w:hAnsiTheme="minorHAnsi" w:eastAsiaTheme="minorEastAsia" w:cstheme="minorBidi"/>
          <w:color w:val="auto"/>
          <w:szCs w:val="22"/>
          <w:highlight w:val="none"/>
        </w:rPr>
        <w:tab/>
      </w:r>
      <w:r>
        <w:rPr>
          <w:rStyle w:val="46"/>
          <w:rFonts w:hint="eastAsia"/>
          <w:color w:val="auto"/>
          <w:highlight w:val="none"/>
        </w:rPr>
        <w:t>争议的解决</w:t>
      </w:r>
      <w:r>
        <w:rPr>
          <w:color w:val="auto"/>
          <w:highlight w:val="none"/>
        </w:rPr>
        <w:tab/>
      </w:r>
      <w:r>
        <w:rPr>
          <w:color w:val="auto"/>
          <w:highlight w:val="none"/>
        </w:rPr>
        <w:fldChar w:fldCharType="begin"/>
      </w:r>
      <w:r>
        <w:rPr>
          <w:color w:val="auto"/>
          <w:highlight w:val="none"/>
        </w:rPr>
        <w:instrText xml:space="preserve"> PAGEREF _Toc133502215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"_Toc133502217" </w:instrText>
      </w:r>
      <w:r>
        <w:rPr>
          <w:color w:val="auto"/>
          <w:highlight w:val="none"/>
        </w:rPr>
        <w:fldChar w:fldCharType="separate"/>
      </w:r>
      <w:r>
        <w:rPr>
          <w:rStyle w:val="46"/>
          <w:rFonts w:hint="eastAsia"/>
          <w:color w:val="auto"/>
          <w:highlight w:val="none"/>
        </w:rPr>
        <w:t>附件</w:t>
      </w:r>
      <w:r>
        <w:rPr>
          <w:rStyle w:val="46"/>
          <w:color w:val="auto"/>
          <w:highlight w:val="none"/>
        </w:rPr>
        <w:t xml:space="preserve">1: </w:t>
      </w:r>
      <w:r>
        <w:rPr>
          <w:rStyle w:val="46"/>
          <w:rFonts w:hint="eastAsia"/>
          <w:color w:val="auto"/>
          <w:highlight w:val="none"/>
        </w:rPr>
        <w:t>合同范围及边界</w:t>
      </w:r>
      <w:r>
        <w:rPr>
          <w:color w:val="auto"/>
          <w:highlight w:val="none"/>
        </w:rPr>
        <w:tab/>
      </w:r>
      <w:r>
        <w:rPr>
          <w:color w:val="auto"/>
          <w:highlight w:val="none"/>
        </w:rPr>
        <w:fldChar w:fldCharType="begin"/>
      </w:r>
      <w:r>
        <w:rPr>
          <w:color w:val="auto"/>
          <w:highlight w:val="none"/>
        </w:rPr>
        <w:instrText xml:space="preserve"> PAGEREF _Toc133502217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"_Toc133502218" </w:instrText>
      </w:r>
      <w:r>
        <w:rPr>
          <w:color w:val="auto"/>
          <w:highlight w:val="none"/>
        </w:rPr>
        <w:fldChar w:fldCharType="separate"/>
      </w:r>
      <w:r>
        <w:rPr>
          <w:rStyle w:val="46"/>
          <w:rFonts w:hint="eastAsia"/>
          <w:color w:val="auto"/>
          <w:highlight w:val="none"/>
        </w:rPr>
        <w:t>附件</w:t>
      </w:r>
      <w:r>
        <w:rPr>
          <w:rStyle w:val="46"/>
          <w:color w:val="auto"/>
          <w:highlight w:val="none"/>
        </w:rPr>
        <w:t xml:space="preserve">2: </w:t>
      </w:r>
      <w:r>
        <w:rPr>
          <w:rStyle w:val="46"/>
          <w:rFonts w:hint="eastAsia"/>
          <w:color w:val="auto"/>
          <w:highlight w:val="none"/>
        </w:rPr>
        <w:t>施工技术要求（另册）</w:t>
      </w:r>
      <w:r>
        <w:rPr>
          <w:color w:val="auto"/>
          <w:highlight w:val="none"/>
        </w:rPr>
        <w:tab/>
      </w:r>
      <w:r>
        <w:rPr>
          <w:color w:val="auto"/>
          <w:highlight w:val="none"/>
        </w:rPr>
        <w:fldChar w:fldCharType="begin"/>
      </w:r>
      <w:r>
        <w:rPr>
          <w:color w:val="auto"/>
          <w:highlight w:val="none"/>
        </w:rPr>
        <w:instrText xml:space="preserve"> PAGEREF _Toc133502218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"_Toc133502219" </w:instrText>
      </w:r>
      <w:r>
        <w:rPr>
          <w:color w:val="auto"/>
          <w:highlight w:val="none"/>
        </w:rPr>
        <w:fldChar w:fldCharType="separate"/>
      </w:r>
      <w:r>
        <w:rPr>
          <w:rStyle w:val="46"/>
          <w:rFonts w:hint="eastAsia"/>
          <w:color w:val="auto"/>
          <w:highlight w:val="none"/>
        </w:rPr>
        <w:t>附件</w:t>
      </w:r>
      <w:r>
        <w:rPr>
          <w:rStyle w:val="46"/>
          <w:color w:val="auto"/>
          <w:highlight w:val="none"/>
        </w:rPr>
        <w:t>3:</w:t>
      </w:r>
      <w:r>
        <w:rPr>
          <w:rStyle w:val="46"/>
          <w:rFonts w:hint="eastAsia"/>
          <w:color w:val="auto"/>
          <w:highlight w:val="none"/>
        </w:rPr>
        <w:t>履约保函（格式）</w:t>
      </w:r>
      <w:r>
        <w:rPr>
          <w:color w:val="auto"/>
          <w:highlight w:val="none"/>
        </w:rPr>
        <w:tab/>
      </w:r>
      <w:r>
        <w:rPr>
          <w:color w:val="auto"/>
          <w:highlight w:val="none"/>
        </w:rPr>
        <w:fldChar w:fldCharType="begin"/>
      </w:r>
      <w:r>
        <w:rPr>
          <w:color w:val="auto"/>
          <w:highlight w:val="none"/>
        </w:rPr>
        <w:instrText xml:space="preserve"> PAGEREF _Toc133502219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"_Toc133502221" </w:instrText>
      </w:r>
      <w:r>
        <w:rPr>
          <w:color w:val="auto"/>
          <w:highlight w:val="none"/>
        </w:rPr>
        <w:fldChar w:fldCharType="separate"/>
      </w:r>
      <w:r>
        <w:rPr>
          <w:rStyle w:val="46"/>
          <w:rFonts w:hint="eastAsia"/>
          <w:color w:val="auto"/>
          <w:highlight w:val="none"/>
        </w:rPr>
        <w:t>附件4：工程质量保修书</w:t>
      </w:r>
      <w:r>
        <w:rPr>
          <w:color w:val="auto"/>
          <w:highlight w:val="none"/>
        </w:rPr>
        <w:tab/>
      </w:r>
      <w:r>
        <w:rPr>
          <w:color w:val="auto"/>
          <w:highlight w:val="none"/>
        </w:rPr>
        <w:fldChar w:fldCharType="begin"/>
      </w:r>
      <w:r>
        <w:rPr>
          <w:color w:val="auto"/>
          <w:highlight w:val="none"/>
        </w:rPr>
        <w:instrText xml:space="preserve"> PAGEREF _Toc133502221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"_Toc133502225" </w:instrText>
      </w:r>
      <w:r>
        <w:rPr>
          <w:color w:val="auto"/>
          <w:highlight w:val="none"/>
        </w:rPr>
        <w:fldChar w:fldCharType="separate"/>
      </w:r>
      <w:r>
        <w:rPr>
          <w:rStyle w:val="46"/>
          <w:rFonts w:hint="eastAsia"/>
          <w:color w:val="auto"/>
          <w:highlight w:val="none"/>
        </w:rPr>
        <w:t>附件5：工程建设项目廉政责任书</w:t>
      </w:r>
      <w:r>
        <w:rPr>
          <w:color w:val="auto"/>
          <w:highlight w:val="none"/>
        </w:rPr>
        <w:tab/>
      </w:r>
      <w:r>
        <w:rPr>
          <w:color w:val="auto"/>
          <w:highlight w:val="none"/>
        </w:rPr>
        <w:fldChar w:fldCharType="begin"/>
      </w:r>
      <w:r>
        <w:rPr>
          <w:color w:val="auto"/>
          <w:highlight w:val="none"/>
        </w:rPr>
        <w:instrText xml:space="preserve"> PAGEREF _Toc133502225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"_Toc133502226" </w:instrText>
      </w:r>
      <w:r>
        <w:rPr>
          <w:color w:val="auto"/>
          <w:highlight w:val="none"/>
        </w:rPr>
        <w:fldChar w:fldCharType="separate"/>
      </w:r>
      <w:r>
        <w:rPr>
          <w:rStyle w:val="46"/>
          <w:rFonts w:hint="eastAsia"/>
          <w:color w:val="auto"/>
          <w:highlight w:val="none"/>
        </w:rPr>
        <w:t>附件6：拟投入本项目人员（按投标文件）</w:t>
      </w:r>
      <w:r>
        <w:rPr>
          <w:color w:val="auto"/>
          <w:highlight w:val="none"/>
        </w:rPr>
        <w:tab/>
      </w:r>
      <w:r>
        <w:rPr>
          <w:color w:val="auto"/>
          <w:highlight w:val="none"/>
        </w:rPr>
        <w:fldChar w:fldCharType="begin"/>
      </w:r>
      <w:r>
        <w:rPr>
          <w:color w:val="auto"/>
          <w:highlight w:val="none"/>
        </w:rPr>
        <w:instrText xml:space="preserve"> PAGEREF _Toc133502226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"_Toc133502227" </w:instrText>
      </w:r>
      <w:r>
        <w:rPr>
          <w:color w:val="auto"/>
          <w:highlight w:val="none"/>
        </w:rPr>
        <w:fldChar w:fldCharType="separate"/>
      </w:r>
      <w:r>
        <w:rPr>
          <w:rStyle w:val="46"/>
          <w:rFonts w:hint="eastAsia"/>
          <w:color w:val="auto"/>
          <w:highlight w:val="none"/>
        </w:rPr>
        <w:t>附件7：报价工程量清单（另册）</w:t>
      </w:r>
      <w:r>
        <w:rPr>
          <w:color w:val="auto"/>
          <w:highlight w:val="none"/>
        </w:rPr>
        <w:tab/>
      </w:r>
      <w:r>
        <w:rPr>
          <w:color w:val="auto"/>
          <w:highlight w:val="none"/>
        </w:rPr>
        <w:fldChar w:fldCharType="begin"/>
      </w:r>
      <w:r>
        <w:rPr>
          <w:color w:val="auto"/>
          <w:highlight w:val="none"/>
        </w:rPr>
        <w:instrText xml:space="preserve"> PAGEREF _Toc133502227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30"/>
        <w:rPr>
          <w:color w:val="auto"/>
          <w:highlight w:val="none"/>
        </w:rPr>
      </w:pPr>
      <w:r>
        <w:rPr>
          <w:color w:val="auto"/>
          <w:highlight w:val="none"/>
        </w:rPr>
        <w:fldChar w:fldCharType="begin"/>
      </w:r>
      <w:r>
        <w:rPr>
          <w:color w:val="auto"/>
          <w:highlight w:val="none"/>
        </w:rPr>
        <w:instrText xml:space="preserve"> HYPERLINK \l "_Toc133502228" </w:instrText>
      </w:r>
      <w:r>
        <w:rPr>
          <w:color w:val="auto"/>
          <w:highlight w:val="none"/>
        </w:rPr>
        <w:fldChar w:fldCharType="separate"/>
      </w:r>
      <w:r>
        <w:rPr>
          <w:rStyle w:val="46"/>
          <w:rFonts w:hint="eastAsia"/>
          <w:color w:val="auto"/>
          <w:highlight w:val="none"/>
        </w:rPr>
        <w:t>附件8：图纸目录（另册）</w:t>
      </w:r>
      <w:r>
        <w:rPr>
          <w:color w:val="auto"/>
          <w:highlight w:val="none"/>
        </w:rPr>
        <w:tab/>
      </w:r>
      <w:r>
        <w:rPr>
          <w:color w:val="auto"/>
          <w:highlight w:val="none"/>
        </w:rPr>
        <w:fldChar w:fldCharType="begin"/>
      </w:r>
      <w:r>
        <w:rPr>
          <w:color w:val="auto"/>
          <w:highlight w:val="none"/>
        </w:rPr>
        <w:instrText xml:space="preserve"> PAGEREF _Toc133502228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widowControl/>
        <w:ind w:left="2" w:leftChars="1"/>
        <w:jc w:val="center"/>
        <w:rPr>
          <w:rFonts w:ascii="宋体" w:hAnsi="宋体"/>
          <w:b/>
          <w:color w:val="auto"/>
          <w:sz w:val="36"/>
          <w:szCs w:val="36"/>
          <w:highlight w:val="none"/>
        </w:rPr>
      </w:pPr>
      <w:r>
        <w:rPr>
          <w:rFonts w:ascii="宋体" w:hAnsi="宋体"/>
          <w:b/>
          <w:color w:val="auto"/>
          <w:sz w:val="36"/>
          <w:szCs w:val="36"/>
          <w:highlight w:val="none"/>
        </w:rPr>
        <w:fldChar w:fldCharType="end"/>
      </w:r>
    </w:p>
    <w:p>
      <w:pPr>
        <w:pStyle w:val="5"/>
        <w:jc w:val="center"/>
        <w:rPr>
          <w:color w:val="auto"/>
          <w:highlight w:val="none"/>
        </w:rPr>
      </w:pPr>
      <w:r>
        <w:rPr>
          <w:color w:val="auto"/>
          <w:highlight w:val="none"/>
        </w:rPr>
        <w:br w:type="page"/>
      </w:r>
      <w:bookmarkStart w:id="0" w:name="_Toc334086504"/>
      <w:bookmarkStart w:id="1" w:name="_Toc33448443"/>
      <w:bookmarkStart w:id="2" w:name="_Toc133502167"/>
      <w:r>
        <w:rPr>
          <w:rFonts w:hint="eastAsia"/>
          <w:color w:val="auto"/>
          <w:highlight w:val="none"/>
        </w:rPr>
        <w:t>第一部分  协议书</w:t>
      </w:r>
      <w:bookmarkEnd w:id="0"/>
      <w:bookmarkEnd w:id="1"/>
      <w:bookmarkEnd w:id="2"/>
    </w:p>
    <w:p>
      <w:pPr>
        <w:adjustRightInd w:val="0"/>
        <w:snapToGrid w:val="0"/>
        <w:spacing w:line="360" w:lineRule="auto"/>
        <w:rPr>
          <w:color w:val="auto"/>
          <w:highlight w:val="none"/>
        </w:rPr>
      </w:pPr>
      <w:r>
        <w:rPr>
          <w:rFonts w:hint="eastAsia"/>
          <w:color w:val="auto"/>
          <w:highlight w:val="none"/>
        </w:rPr>
        <w:t>发包人：广东南华工商职业学院</w:t>
      </w:r>
    </w:p>
    <w:p>
      <w:pPr>
        <w:adjustRightInd w:val="0"/>
        <w:snapToGrid w:val="0"/>
        <w:spacing w:line="360" w:lineRule="auto"/>
        <w:rPr>
          <w:rFonts w:eastAsia="PMingLiU"/>
          <w:b/>
          <w:color w:val="auto"/>
          <w:sz w:val="30"/>
          <w:szCs w:val="30"/>
          <w:highlight w:val="none"/>
          <w:u w:val="single"/>
          <w:lang w:eastAsia="zh-TW"/>
        </w:rPr>
      </w:pPr>
      <w:r>
        <w:rPr>
          <w:rFonts w:hint="eastAsia"/>
          <w:color w:val="auto"/>
          <w:highlight w:val="none"/>
        </w:rPr>
        <w:t xml:space="preserve">承包人： </w:t>
      </w:r>
    </w:p>
    <w:p>
      <w:pPr>
        <w:adjustRightInd w:val="0"/>
        <w:snapToGrid w:val="0"/>
        <w:spacing w:line="360" w:lineRule="auto"/>
        <w:rPr>
          <w:color w:val="auto"/>
          <w:highlight w:val="none"/>
          <w:lang w:eastAsia="zh-TW"/>
        </w:rPr>
      </w:pPr>
    </w:p>
    <w:p>
      <w:pPr>
        <w:adjustRightInd w:val="0"/>
        <w:snapToGrid w:val="0"/>
        <w:spacing w:line="360" w:lineRule="auto"/>
        <w:ind w:firstLine="420" w:firstLineChars="200"/>
        <w:rPr>
          <w:color w:val="auto"/>
          <w:highlight w:val="none"/>
        </w:rPr>
      </w:pPr>
      <w:r>
        <w:rPr>
          <w:rFonts w:hint="eastAsia"/>
          <w:color w:val="auto"/>
          <w:highlight w:val="none"/>
        </w:rPr>
        <w:t>依照《中华人民共和国民法典》、《中华人民共和国建筑法》及其他有关法律、行政法规，遵循平等、自愿、公平和诚实信用的原则，双方就本建设工程施工事项协商一致，订立本合同。</w:t>
      </w:r>
    </w:p>
    <w:p>
      <w:pPr>
        <w:numPr>
          <w:ilvl w:val="0"/>
          <w:numId w:val="4"/>
        </w:numPr>
        <w:adjustRightInd w:val="0"/>
        <w:snapToGrid w:val="0"/>
        <w:spacing w:before="156" w:beforeLines="50" w:line="360" w:lineRule="auto"/>
        <w:ind w:left="0" w:firstLine="420" w:firstLineChars="200"/>
        <w:rPr>
          <w:color w:val="auto"/>
          <w:highlight w:val="none"/>
        </w:rPr>
      </w:pPr>
      <w:bookmarkStart w:id="3" w:name="_Toc334086505"/>
      <w:r>
        <w:rPr>
          <w:rFonts w:hint="eastAsia"/>
          <w:color w:val="auto"/>
          <w:highlight w:val="none"/>
        </w:rPr>
        <w:t>工程概况</w:t>
      </w:r>
      <w:bookmarkEnd w:id="3"/>
    </w:p>
    <w:p>
      <w:pPr>
        <w:numPr>
          <w:ilvl w:val="1"/>
          <w:numId w:val="5"/>
        </w:numPr>
        <w:adjustRightInd w:val="0"/>
        <w:snapToGrid w:val="0"/>
        <w:spacing w:line="360" w:lineRule="auto"/>
        <w:ind w:left="0" w:firstLine="420" w:firstLineChars="200"/>
        <w:rPr>
          <w:color w:val="auto"/>
          <w:highlight w:val="none"/>
          <w:u w:val="single"/>
        </w:rPr>
      </w:pPr>
      <w:r>
        <w:rPr>
          <w:rFonts w:hint="eastAsia"/>
          <w:color w:val="auto"/>
          <w:highlight w:val="none"/>
        </w:rPr>
        <w:t>工程名称：</w:t>
      </w:r>
      <w:r>
        <w:rPr>
          <w:rFonts w:hint="eastAsia"/>
          <w:color w:val="auto"/>
          <w:highlight w:val="none"/>
          <w:u w:val="single"/>
        </w:rPr>
        <w:t>广东南华工商职业学院清远校区二期建设工程（学生生活区、教学行政区）园林绿化项目</w:t>
      </w:r>
    </w:p>
    <w:p>
      <w:pPr>
        <w:numPr>
          <w:ilvl w:val="1"/>
          <w:numId w:val="5"/>
        </w:numPr>
        <w:adjustRightInd w:val="0"/>
        <w:snapToGrid w:val="0"/>
        <w:spacing w:line="360" w:lineRule="auto"/>
        <w:ind w:left="0" w:firstLine="420" w:firstLineChars="200"/>
        <w:rPr>
          <w:color w:val="auto"/>
          <w:highlight w:val="none"/>
        </w:rPr>
      </w:pPr>
      <w:r>
        <w:rPr>
          <w:rFonts w:hint="eastAsia"/>
          <w:color w:val="auto"/>
          <w:highlight w:val="none"/>
        </w:rPr>
        <w:t>工程地点：</w:t>
      </w:r>
      <w:r>
        <w:rPr>
          <w:rFonts w:hint="eastAsia"/>
          <w:color w:val="auto"/>
          <w:highlight w:val="none"/>
          <w:u w:val="single"/>
        </w:rPr>
        <w:t>清远市清城区东城街道学贤路7号</w:t>
      </w:r>
    </w:p>
    <w:p>
      <w:pPr>
        <w:pStyle w:val="85"/>
        <w:ind w:left="0" w:firstLine="420" w:firstLineChars="200"/>
        <w:rPr>
          <w:rFonts w:ascii="Times New Roman" w:hAnsi="Times New Roman" w:eastAsia="宋体"/>
          <w:bCs w:val="0"/>
          <w:color w:val="auto"/>
          <w:kern w:val="2"/>
          <w:szCs w:val="24"/>
          <w:highlight w:val="none"/>
        </w:rPr>
      </w:pPr>
      <w:r>
        <w:rPr>
          <w:rFonts w:hint="eastAsia" w:ascii="Times New Roman" w:hAnsi="Times New Roman" w:eastAsia="宋体"/>
          <w:bCs w:val="0"/>
          <w:color w:val="auto"/>
          <w:kern w:val="2"/>
          <w:szCs w:val="24"/>
          <w:highlight w:val="none"/>
        </w:rPr>
        <w:t>1.3.工程概况：</w:t>
      </w:r>
      <w:r>
        <w:rPr>
          <w:rFonts w:hint="eastAsia" w:ascii="Times New Roman" w:hAnsi="Times New Roman" w:eastAsia="宋体"/>
          <w:bCs w:val="0"/>
          <w:color w:val="auto"/>
          <w:kern w:val="2"/>
          <w:szCs w:val="24"/>
          <w:highlight w:val="none"/>
          <w:u w:val="single"/>
        </w:rPr>
        <w:t>广东南华工商职业学院清远校区二期建设工程（学生生活区、教学行政区）园林绿化项目面积约40000㎡（最终以招标图纸及工程量清单为准）。主要工作内容包括但不限于清远校区学生生活区、教学行政区、南校门等二期建设工程区域的园林绿化、海绵城市、室外照明、驳岸加固和绿化等工作，达到符合二期建设工程规划、海绵城市、环保和绿化验收要求，以及美化校园环境，提高校园安全级别及经济效益等（详见招标图纸及工程量清单）。</w:t>
      </w:r>
    </w:p>
    <w:p>
      <w:pPr>
        <w:numPr>
          <w:ilvl w:val="0"/>
          <w:numId w:val="4"/>
        </w:numPr>
        <w:adjustRightInd w:val="0"/>
        <w:snapToGrid w:val="0"/>
        <w:spacing w:before="156" w:beforeLines="50" w:line="360" w:lineRule="auto"/>
        <w:ind w:left="0" w:firstLine="420" w:firstLineChars="200"/>
        <w:rPr>
          <w:color w:val="auto"/>
          <w:highlight w:val="none"/>
        </w:rPr>
      </w:pPr>
      <w:r>
        <w:rPr>
          <w:rFonts w:hint="eastAsia"/>
          <w:color w:val="auto"/>
          <w:highlight w:val="none"/>
        </w:rPr>
        <w:t>承包方式：</w:t>
      </w:r>
    </w:p>
    <w:p>
      <w:pPr>
        <w:adjustRightInd w:val="0"/>
        <w:snapToGrid w:val="0"/>
        <w:spacing w:line="360" w:lineRule="auto"/>
        <w:ind w:firstLine="420" w:firstLineChars="200"/>
        <w:rPr>
          <w:color w:val="auto"/>
          <w:highlight w:val="none"/>
        </w:rPr>
      </w:pPr>
      <w:r>
        <w:rPr>
          <w:rFonts w:hint="eastAsia"/>
          <w:color w:val="auto"/>
          <w:highlight w:val="none"/>
          <w:u w:val="single"/>
        </w:rPr>
        <w:t>按施工图纸、合同条件和规范及标准要求，对承包范围内的工程采取包工、包料、包工期、包质量、包安全生产、包文明施工、包系统调试、包验收、包保修，以工程量清单项目综合单价包干，按实际工程量进行结算、项目措施费包干。</w:t>
      </w:r>
    </w:p>
    <w:p>
      <w:pPr>
        <w:numPr>
          <w:ilvl w:val="0"/>
          <w:numId w:val="4"/>
        </w:numPr>
        <w:adjustRightInd w:val="0"/>
        <w:snapToGrid w:val="0"/>
        <w:spacing w:before="156" w:beforeLines="50" w:line="360" w:lineRule="auto"/>
        <w:ind w:left="0" w:firstLine="420" w:firstLineChars="200"/>
        <w:rPr>
          <w:color w:val="auto"/>
          <w:highlight w:val="none"/>
        </w:rPr>
      </w:pPr>
      <w:bookmarkStart w:id="4" w:name="_Toc334086506"/>
      <w:r>
        <w:rPr>
          <w:rFonts w:hint="eastAsia"/>
          <w:color w:val="auto"/>
          <w:highlight w:val="none"/>
        </w:rPr>
        <w:t>承包范围</w:t>
      </w:r>
      <w:bookmarkEnd w:id="4"/>
    </w:p>
    <w:p>
      <w:pPr>
        <w:numPr>
          <w:ilvl w:val="1"/>
          <w:numId w:val="4"/>
        </w:numPr>
        <w:adjustRightInd w:val="0"/>
        <w:snapToGrid w:val="0"/>
        <w:spacing w:line="360" w:lineRule="auto"/>
        <w:ind w:left="0" w:firstLine="420" w:firstLineChars="200"/>
        <w:rPr>
          <w:color w:val="auto"/>
          <w:highlight w:val="none"/>
        </w:rPr>
      </w:pPr>
      <w:r>
        <w:rPr>
          <w:rFonts w:hint="eastAsia"/>
          <w:color w:val="auto"/>
          <w:highlight w:val="none"/>
        </w:rPr>
        <w:t>承包范围：</w:t>
      </w:r>
      <w:r>
        <w:rPr>
          <w:rFonts w:hint="eastAsia"/>
          <w:color w:val="auto"/>
          <w:highlight w:val="none"/>
          <w:u w:val="single"/>
        </w:rPr>
        <w:t>包括但不限于清远校区学生生活区、教学行政区、南校门等二期建设工程区域的园林绿化、海绵城市、室外照明、驳岸加固和绿化等工作，达到符合二期建设工程规划、海绵城市、环保和绿化验收要求，以及美化校园环境，提高校园安全级别及经济效益等，具体以工程量清单和图纸为准。</w:t>
      </w:r>
    </w:p>
    <w:p>
      <w:pPr>
        <w:numPr>
          <w:ilvl w:val="1"/>
          <w:numId w:val="4"/>
        </w:numPr>
        <w:adjustRightInd w:val="0"/>
        <w:snapToGrid w:val="0"/>
        <w:spacing w:line="360" w:lineRule="auto"/>
        <w:ind w:left="0" w:firstLine="420" w:firstLineChars="200"/>
        <w:rPr>
          <w:color w:val="auto"/>
          <w:highlight w:val="none"/>
        </w:rPr>
      </w:pPr>
      <w:r>
        <w:rPr>
          <w:rFonts w:hint="eastAsia"/>
          <w:color w:val="auto"/>
          <w:highlight w:val="none"/>
        </w:rPr>
        <w:t>本合同工程相关的第三方检测由承包人自行负责，一切相关费用及工作均由承包人承担。</w:t>
      </w:r>
    </w:p>
    <w:p>
      <w:pPr>
        <w:numPr>
          <w:ilvl w:val="0"/>
          <w:numId w:val="4"/>
        </w:numPr>
        <w:adjustRightInd w:val="0"/>
        <w:snapToGrid w:val="0"/>
        <w:spacing w:before="156" w:beforeLines="50" w:line="360" w:lineRule="auto"/>
        <w:ind w:left="0" w:firstLine="420" w:firstLineChars="200"/>
        <w:rPr>
          <w:color w:val="auto"/>
          <w:highlight w:val="none"/>
        </w:rPr>
      </w:pPr>
      <w:bookmarkStart w:id="5" w:name="_Toc334086507"/>
      <w:r>
        <w:rPr>
          <w:rFonts w:hint="eastAsia"/>
          <w:color w:val="auto"/>
          <w:highlight w:val="none"/>
        </w:rPr>
        <w:t>合同工期</w:t>
      </w:r>
      <w:bookmarkEnd w:id="5"/>
    </w:p>
    <w:p>
      <w:pPr>
        <w:numPr>
          <w:ilvl w:val="1"/>
          <w:numId w:val="4"/>
        </w:numPr>
        <w:adjustRightInd w:val="0"/>
        <w:snapToGrid w:val="0"/>
        <w:spacing w:line="360" w:lineRule="auto"/>
        <w:ind w:left="0" w:firstLine="420" w:firstLineChars="200"/>
        <w:rPr>
          <w:color w:val="auto"/>
          <w:highlight w:val="none"/>
        </w:rPr>
      </w:pPr>
      <w:r>
        <w:rPr>
          <w:rFonts w:hint="eastAsia"/>
          <w:color w:val="auto"/>
          <w:highlight w:val="none"/>
        </w:rPr>
        <w:t>合同工期：</w:t>
      </w:r>
      <w:r>
        <w:rPr>
          <w:rFonts w:hint="eastAsia"/>
          <w:color w:val="auto"/>
          <w:highlight w:val="none"/>
          <w:u w:val="single"/>
        </w:rPr>
        <w:t>施工总工期：60日历天，其中，学生生活区范围内满足二期建设工程验收的相关项目，工期为45天。（注：具体开工日期以发包人或总监理工程师发出的开工令为准。）</w:t>
      </w:r>
    </w:p>
    <w:p>
      <w:pPr>
        <w:adjustRightInd w:val="0"/>
        <w:snapToGrid w:val="0"/>
        <w:spacing w:line="360" w:lineRule="auto"/>
        <w:ind w:firstLine="420" w:firstLineChars="200"/>
        <w:rPr>
          <w:color w:val="auto"/>
          <w:szCs w:val="21"/>
          <w:highlight w:val="none"/>
        </w:rPr>
      </w:pPr>
      <w:r>
        <w:rPr>
          <w:rFonts w:hint="eastAsia"/>
          <w:color w:val="auto"/>
          <w:szCs w:val="21"/>
          <w:highlight w:val="none"/>
        </w:rPr>
        <w:t>以上工期已充分考虑各种形式的雨雪、冰雹、大风、高温、停水、停电、节假日、国家庆典、外交来访、重大活动（如国际会议、大型运动会、大型阅兵庆典等）、中考、高考期间、召开“两会”期间的施工管制、交通管制、扰民、道路施工影响等不利因素，并已考虑承包人与发包人、其他分包单位之间的配合时间，承包人不得以上述因素申请工期的延长。承包人被认为已在本工程投标阶段踏勘现场，并充分了解本工程现场条件和周围环境，并已在其投标时就此给予了充分的考虑。除合同另有明确约定，合同工期不做任何调整。</w:t>
      </w:r>
    </w:p>
    <w:p>
      <w:pPr>
        <w:numPr>
          <w:ilvl w:val="1"/>
          <w:numId w:val="4"/>
        </w:numPr>
        <w:adjustRightInd w:val="0"/>
        <w:snapToGrid w:val="0"/>
        <w:spacing w:line="360" w:lineRule="auto"/>
        <w:ind w:left="0" w:firstLine="420" w:firstLineChars="200"/>
        <w:rPr>
          <w:color w:val="auto"/>
          <w:highlight w:val="none"/>
        </w:rPr>
      </w:pPr>
      <w:r>
        <w:rPr>
          <w:rFonts w:hint="eastAsia"/>
          <w:color w:val="auto"/>
          <w:highlight w:val="none"/>
        </w:rPr>
        <w:t>开工日期</w:t>
      </w:r>
    </w:p>
    <w:p>
      <w:pPr>
        <w:adjustRightInd w:val="0"/>
        <w:snapToGrid w:val="0"/>
        <w:spacing w:line="360" w:lineRule="auto"/>
        <w:ind w:firstLine="420" w:firstLineChars="200"/>
        <w:rPr>
          <w:color w:val="auto"/>
          <w:highlight w:val="none"/>
        </w:rPr>
      </w:pPr>
      <w:r>
        <w:rPr>
          <w:rFonts w:hint="eastAsia"/>
          <w:color w:val="auto"/>
          <w:highlight w:val="none"/>
        </w:rPr>
        <w:t>开工日期暂定为</w:t>
      </w:r>
      <w:r>
        <w:rPr>
          <w:rFonts w:hint="eastAsia"/>
          <w:color w:val="auto"/>
          <w:highlight w:val="none"/>
          <w:u w:val="single"/>
        </w:rPr>
        <w:t xml:space="preserve">     年</w:t>
      </w:r>
      <w:r>
        <w:rPr>
          <w:color w:val="auto"/>
          <w:highlight w:val="none"/>
          <w:u w:val="single"/>
        </w:rPr>
        <w:t xml:space="preserve"> </w:t>
      </w:r>
      <w:r>
        <w:rPr>
          <w:rFonts w:hint="eastAsia"/>
          <w:color w:val="auto"/>
          <w:highlight w:val="none"/>
          <w:u w:val="single"/>
        </w:rPr>
        <w:t xml:space="preserve"> 月 日</w:t>
      </w:r>
      <w:r>
        <w:rPr>
          <w:rFonts w:hint="eastAsia"/>
          <w:color w:val="auto"/>
          <w:highlight w:val="none"/>
        </w:rPr>
        <w:t>(开工日期以经发包人书面同意由监理人下发的开工通知中载明的日期为准)。</w:t>
      </w:r>
    </w:p>
    <w:p>
      <w:pPr>
        <w:numPr>
          <w:ilvl w:val="1"/>
          <w:numId w:val="4"/>
        </w:numPr>
        <w:adjustRightInd w:val="0"/>
        <w:snapToGrid w:val="0"/>
        <w:spacing w:line="360" w:lineRule="auto"/>
        <w:ind w:left="0" w:firstLine="420" w:firstLineChars="200"/>
        <w:rPr>
          <w:color w:val="auto"/>
          <w:highlight w:val="none"/>
        </w:rPr>
      </w:pPr>
      <w:r>
        <w:rPr>
          <w:rFonts w:hint="eastAsia"/>
          <w:color w:val="auto"/>
          <w:highlight w:val="none"/>
        </w:rPr>
        <w:t>竣工日期</w:t>
      </w:r>
    </w:p>
    <w:p>
      <w:pPr>
        <w:adjustRightInd w:val="0"/>
        <w:snapToGrid w:val="0"/>
        <w:spacing w:line="360" w:lineRule="auto"/>
        <w:ind w:firstLine="420" w:firstLineChars="200"/>
        <w:rPr>
          <w:color w:val="auto"/>
          <w:highlight w:val="none"/>
          <w:u w:val="single"/>
        </w:rPr>
      </w:pPr>
      <w:r>
        <w:rPr>
          <w:rFonts w:hint="eastAsia"/>
          <w:color w:val="auto"/>
          <w:highlight w:val="none"/>
          <w:u w:val="single"/>
        </w:rPr>
        <w:t>园林绿化工程竣工日期为：    年  月  日；</w:t>
      </w:r>
    </w:p>
    <w:p>
      <w:pPr>
        <w:numPr>
          <w:ilvl w:val="1"/>
          <w:numId w:val="4"/>
        </w:numPr>
        <w:adjustRightInd w:val="0"/>
        <w:snapToGrid w:val="0"/>
        <w:spacing w:line="360" w:lineRule="auto"/>
        <w:ind w:left="0" w:firstLine="420" w:firstLineChars="200"/>
        <w:rPr>
          <w:color w:val="auto"/>
          <w:highlight w:val="none"/>
          <w:u w:val="single"/>
        </w:rPr>
      </w:pPr>
      <w:r>
        <w:rPr>
          <w:rFonts w:hint="eastAsia"/>
          <w:color w:val="auto"/>
          <w:highlight w:val="none"/>
          <w:u w:val="single"/>
        </w:rPr>
        <w:t>若本工程开工日期顺延的，则本工程相应的节点工期相应调整，承包人需采取相应措施，确保不影响竣工验收合格日期。</w:t>
      </w:r>
    </w:p>
    <w:p>
      <w:pPr>
        <w:numPr>
          <w:ilvl w:val="0"/>
          <w:numId w:val="4"/>
        </w:numPr>
        <w:adjustRightInd w:val="0"/>
        <w:snapToGrid w:val="0"/>
        <w:spacing w:before="156" w:beforeLines="50" w:line="360" w:lineRule="auto"/>
        <w:ind w:left="0" w:firstLine="420" w:firstLineChars="200"/>
        <w:rPr>
          <w:color w:val="auto"/>
          <w:highlight w:val="none"/>
        </w:rPr>
      </w:pPr>
      <w:bookmarkStart w:id="6" w:name="_Toc334086508"/>
      <w:r>
        <w:rPr>
          <w:rFonts w:hint="eastAsia"/>
          <w:color w:val="auto"/>
          <w:highlight w:val="none"/>
        </w:rPr>
        <w:t>质量标准</w:t>
      </w:r>
      <w:bookmarkEnd w:id="6"/>
    </w:p>
    <w:p>
      <w:pPr>
        <w:numPr>
          <w:ilvl w:val="1"/>
          <w:numId w:val="4"/>
        </w:numPr>
        <w:adjustRightInd w:val="0"/>
        <w:snapToGrid w:val="0"/>
        <w:spacing w:line="360" w:lineRule="auto"/>
        <w:ind w:left="0" w:firstLine="420" w:firstLineChars="200"/>
        <w:rPr>
          <w:color w:val="auto"/>
          <w:highlight w:val="none"/>
        </w:rPr>
      </w:pPr>
      <w:r>
        <w:rPr>
          <w:rFonts w:hint="eastAsia"/>
          <w:color w:val="auto"/>
          <w:highlight w:val="none"/>
        </w:rPr>
        <w:t>应达到《建筑工程质量标准》、《建筑工程施工质量验收统一标准》、《城市绿化工程施工和验收规范》等国家规范、行业标准、地方标准等相关要求，确保分部分项工程达到100%合格，一次性验收合格并通过验收备案，达到合格质量标准。</w:t>
      </w:r>
    </w:p>
    <w:p>
      <w:pPr>
        <w:numPr>
          <w:ilvl w:val="1"/>
          <w:numId w:val="4"/>
        </w:numPr>
        <w:adjustRightInd w:val="0"/>
        <w:snapToGrid w:val="0"/>
        <w:spacing w:line="360" w:lineRule="auto"/>
        <w:ind w:left="0" w:firstLine="420" w:firstLineChars="200"/>
        <w:rPr>
          <w:color w:val="auto"/>
          <w:highlight w:val="none"/>
        </w:rPr>
      </w:pPr>
      <w:r>
        <w:rPr>
          <w:rFonts w:hint="eastAsia"/>
          <w:color w:val="auto"/>
          <w:highlight w:val="none"/>
        </w:rPr>
        <w:t>如技术文件、设计图纸（含设计说明）中确定适用的技术标准或规范要求、检验测试要求及验收要求不一致时，本工程实施按其中标准较高、要求较严格的要求执行。</w:t>
      </w:r>
    </w:p>
    <w:p>
      <w:pPr>
        <w:numPr>
          <w:ilvl w:val="0"/>
          <w:numId w:val="4"/>
        </w:numPr>
        <w:adjustRightInd w:val="0"/>
        <w:snapToGrid w:val="0"/>
        <w:spacing w:before="156" w:beforeLines="50" w:line="360" w:lineRule="auto"/>
        <w:ind w:left="0" w:firstLine="420" w:firstLineChars="200"/>
        <w:rPr>
          <w:color w:val="auto"/>
          <w:highlight w:val="none"/>
        </w:rPr>
      </w:pPr>
      <w:r>
        <w:rPr>
          <w:rFonts w:hint="eastAsia"/>
          <w:color w:val="auto"/>
          <w:highlight w:val="none"/>
        </w:rPr>
        <w:t>安全文明施工标准</w:t>
      </w:r>
    </w:p>
    <w:p>
      <w:pPr>
        <w:adjustRightInd w:val="0"/>
        <w:snapToGrid w:val="0"/>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确保责任事故死亡率为零，确保工程无重大安全事故，工伤频率控制在广州市建筑施工安全管理法规规定的指标要求范围内。</w:t>
      </w:r>
    </w:p>
    <w:p>
      <w:pPr>
        <w:numPr>
          <w:ilvl w:val="0"/>
          <w:numId w:val="4"/>
        </w:numPr>
        <w:adjustRightInd w:val="0"/>
        <w:snapToGrid w:val="0"/>
        <w:spacing w:before="156" w:beforeLines="50" w:line="360" w:lineRule="auto"/>
        <w:ind w:left="0" w:firstLine="420" w:firstLineChars="200"/>
        <w:rPr>
          <w:color w:val="auto"/>
          <w:highlight w:val="none"/>
        </w:rPr>
      </w:pPr>
      <w:bookmarkStart w:id="7" w:name="_Toc334086509"/>
      <w:r>
        <w:rPr>
          <w:rFonts w:hint="eastAsia"/>
          <w:color w:val="auto"/>
          <w:highlight w:val="none"/>
        </w:rPr>
        <w:t>合同价款</w:t>
      </w:r>
      <w:bookmarkEnd w:id="7"/>
    </w:p>
    <w:p>
      <w:pPr>
        <w:adjustRightInd w:val="0"/>
        <w:snapToGrid w:val="0"/>
        <w:spacing w:line="360" w:lineRule="auto"/>
        <w:ind w:firstLine="420" w:firstLineChars="200"/>
        <w:rPr>
          <w:color w:val="auto"/>
          <w:highlight w:val="none"/>
        </w:rPr>
      </w:pPr>
      <w:r>
        <w:rPr>
          <w:rFonts w:hint="eastAsia"/>
          <w:color w:val="auto"/>
          <w:highlight w:val="none"/>
        </w:rPr>
        <w:t>本合同签约合同价格暂定为：￥                 元（大写：人民币               ）。其中：不含税签约合同价格为         元，增值税税率为9%，增值税为        元。合同价格组成明细具体详见本合同附件《已标价工程量清单》。</w:t>
      </w:r>
    </w:p>
    <w:p>
      <w:pPr>
        <w:adjustRightInd w:val="0"/>
        <w:snapToGrid w:val="0"/>
        <w:spacing w:line="360" w:lineRule="auto"/>
        <w:ind w:firstLine="420" w:firstLineChars="200"/>
        <w:rPr>
          <w:color w:val="auto"/>
          <w:highlight w:val="none"/>
        </w:rPr>
      </w:pPr>
      <w:r>
        <w:rPr>
          <w:rFonts w:hint="eastAsia"/>
          <w:color w:val="auto"/>
          <w:highlight w:val="none"/>
        </w:rPr>
        <w:t>若遇政策性调整增值税税率的，承包人提供增值税专用发票的增值税税率按当期国家税务总局政策性调整后的增值税税率执行；发包人按当次应付金额对应的不含增值税价款及调整后的增值税税率计算的增值税税费进行支付。</w:t>
      </w:r>
    </w:p>
    <w:p>
      <w:pPr>
        <w:pStyle w:val="2"/>
        <w:ind w:left="0" w:leftChars="0" w:firstLine="420"/>
        <w:rPr>
          <w:color w:val="auto"/>
          <w:highlight w:val="none"/>
        </w:rPr>
      </w:pPr>
      <w:r>
        <w:rPr>
          <w:rFonts w:hint="eastAsia"/>
          <w:color w:val="auto"/>
          <w:highlight w:val="none"/>
        </w:rPr>
        <w:t>承包人须在合同签订后开工前10天内完成对工程量清单偏差和缺漏项进行复核的工作，并将复核结果和调整意见上报发包人，若未在规定时间内完成上述复核工作，视为默认投标报价已包含工程所有内容，发包人亦不再安排、组织进行二次复核。</w:t>
      </w:r>
    </w:p>
    <w:p>
      <w:pPr>
        <w:numPr>
          <w:ilvl w:val="0"/>
          <w:numId w:val="4"/>
        </w:numPr>
        <w:adjustRightInd w:val="0"/>
        <w:snapToGrid w:val="0"/>
        <w:spacing w:before="156" w:beforeLines="50" w:line="360" w:lineRule="auto"/>
        <w:ind w:left="0" w:firstLine="420" w:firstLineChars="200"/>
        <w:rPr>
          <w:color w:val="auto"/>
          <w:highlight w:val="none"/>
        </w:rPr>
      </w:pPr>
      <w:bookmarkStart w:id="8" w:name="_Toc334086512"/>
      <w:r>
        <w:rPr>
          <w:rFonts w:hint="eastAsia"/>
          <w:color w:val="auto"/>
          <w:highlight w:val="none"/>
        </w:rPr>
        <w:t>合同份数及生效</w:t>
      </w:r>
      <w:bookmarkEnd w:id="8"/>
    </w:p>
    <w:p>
      <w:pPr>
        <w:adjustRightInd w:val="0"/>
        <w:snapToGrid w:val="0"/>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本合同一式    份，发包人执    份，承包人执    份。本合同经发包人、承包人双方加盖公章或合同专用章，法定代表人或其委托代理人签字或盖章生效。(以下无正文)</w:t>
      </w:r>
    </w:p>
    <w:p>
      <w:pPr>
        <w:adjustRightInd w:val="0"/>
        <w:snapToGrid w:val="0"/>
        <w:spacing w:line="360" w:lineRule="auto"/>
        <w:rPr>
          <w:rFonts w:ascii="宋体" w:hAnsi="宋体"/>
          <w:snapToGrid w:val="0"/>
          <w:color w:val="auto"/>
          <w:kern w:val="0"/>
          <w:sz w:val="24"/>
          <w:highlight w:val="none"/>
        </w:rPr>
      </w:pPr>
    </w:p>
    <w:p>
      <w:pPr>
        <w:widowControl/>
        <w:adjustRightInd w:val="0"/>
        <w:snapToGrid w:val="0"/>
        <w:spacing w:line="360" w:lineRule="auto"/>
        <w:jc w:val="left"/>
        <w:rPr>
          <w:rFonts w:ascii="宋体"/>
          <w:bCs/>
          <w:snapToGrid w:val="0"/>
          <w:color w:val="auto"/>
          <w:kern w:val="0"/>
          <w:highlight w:val="none"/>
        </w:rPr>
      </w:pPr>
      <w:r>
        <w:rPr>
          <w:rFonts w:hint="eastAsia" w:ascii="宋体" w:hAnsi="宋体"/>
          <w:bCs/>
          <w:snapToGrid w:val="0"/>
          <w:color w:val="auto"/>
          <w:kern w:val="0"/>
          <w:highlight w:val="none"/>
        </w:rPr>
        <w:t>（本页为</w:t>
      </w:r>
      <w:r>
        <w:rPr>
          <w:rFonts w:hint="eastAsia" w:ascii="宋体" w:hAnsi="宋体"/>
          <w:snapToGrid w:val="0"/>
          <w:color w:val="auto"/>
          <w:kern w:val="0"/>
          <w:highlight w:val="none"/>
        </w:rPr>
        <w:t>合同</w:t>
      </w:r>
      <w:r>
        <w:rPr>
          <w:rFonts w:hint="eastAsia" w:ascii="宋体" w:hAnsi="宋体"/>
          <w:bCs/>
          <w:snapToGrid w:val="0"/>
          <w:color w:val="auto"/>
          <w:kern w:val="0"/>
          <w:highlight w:val="none"/>
        </w:rPr>
        <w:t>签署页，无正文）</w:t>
      </w:r>
    </w:p>
    <w:p>
      <w:pPr>
        <w:adjustRightInd w:val="0"/>
        <w:snapToGrid w:val="0"/>
        <w:spacing w:line="360" w:lineRule="auto"/>
        <w:ind w:firstLine="139" w:firstLineChars="66"/>
        <w:rPr>
          <w:rFonts w:ascii="宋体"/>
          <w:b/>
          <w:bCs/>
          <w:snapToGrid w:val="0"/>
          <w:color w:val="auto"/>
          <w:kern w:val="0"/>
          <w:highlight w:val="none"/>
        </w:rPr>
      </w:pPr>
    </w:p>
    <w:p>
      <w:pPr>
        <w:pStyle w:val="57"/>
        <w:snapToGrid w:val="0"/>
        <w:spacing w:before="0" w:after="0" w:line="360" w:lineRule="auto"/>
        <w:ind w:left="0" w:right="720"/>
        <w:rPr>
          <w:rFonts w:ascii="宋体" w:hAnsi="宋体"/>
          <w:snapToGrid w:val="0"/>
          <w:color w:val="auto"/>
          <w:sz w:val="21"/>
          <w:szCs w:val="21"/>
          <w:highlight w:val="none"/>
        </w:rPr>
      </w:pPr>
      <w:r>
        <w:rPr>
          <w:rFonts w:hint="eastAsia" w:ascii="宋体" w:hAnsi="宋体"/>
          <w:snapToGrid w:val="0"/>
          <w:color w:val="auto"/>
          <w:sz w:val="21"/>
          <w:szCs w:val="21"/>
          <w:highlight w:val="none"/>
        </w:rPr>
        <w:t xml:space="preserve">发 包 人：    </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 xml:space="preserve">                                承包人：  </w:t>
      </w:r>
    </w:p>
    <w:p>
      <w:pPr>
        <w:pStyle w:val="57"/>
        <w:snapToGrid w:val="0"/>
        <w:spacing w:before="0" w:after="0" w:line="360" w:lineRule="auto"/>
        <w:ind w:left="0" w:right="720"/>
        <w:rPr>
          <w:rFonts w:ascii="宋体" w:hAnsi="宋体"/>
          <w:snapToGrid w:val="0"/>
          <w:color w:val="auto"/>
          <w:sz w:val="21"/>
          <w:szCs w:val="21"/>
          <w:highlight w:val="none"/>
        </w:rPr>
      </w:pPr>
      <w:r>
        <w:rPr>
          <w:rFonts w:hint="eastAsia" w:ascii="宋体" w:hAnsi="宋体"/>
          <w:snapToGrid w:val="0"/>
          <w:color w:val="auto"/>
          <w:sz w:val="21"/>
          <w:szCs w:val="21"/>
          <w:highlight w:val="none"/>
        </w:rPr>
        <w:t xml:space="preserve">地   址：                                       地  址：          </w:t>
      </w:r>
    </w:p>
    <w:p>
      <w:pPr>
        <w:pStyle w:val="57"/>
        <w:snapToGrid w:val="0"/>
        <w:spacing w:before="0" w:after="0" w:line="360" w:lineRule="auto"/>
        <w:ind w:left="0" w:right="720"/>
        <w:rPr>
          <w:rFonts w:ascii="宋体"/>
          <w:snapToGrid w:val="0"/>
          <w:color w:val="auto"/>
          <w:sz w:val="21"/>
          <w:szCs w:val="21"/>
          <w:highlight w:val="none"/>
        </w:rPr>
      </w:pPr>
      <w:r>
        <w:rPr>
          <w:rFonts w:hint="eastAsia" w:ascii="宋体" w:hAnsi="宋体"/>
          <w:snapToGrid w:val="0"/>
          <w:color w:val="auto"/>
          <w:sz w:val="21"/>
          <w:szCs w:val="21"/>
          <w:highlight w:val="none"/>
        </w:rPr>
        <w:t xml:space="preserve">                                         </w:t>
      </w:r>
    </w:p>
    <w:p>
      <w:pPr>
        <w:pStyle w:val="57"/>
        <w:snapToGrid w:val="0"/>
        <w:spacing w:before="0" w:after="0" w:line="360" w:lineRule="auto"/>
        <w:ind w:left="0" w:right="720"/>
        <w:rPr>
          <w:rFonts w:ascii="宋体"/>
          <w:snapToGrid w:val="0"/>
          <w:color w:val="auto"/>
          <w:sz w:val="21"/>
          <w:szCs w:val="21"/>
          <w:highlight w:val="none"/>
        </w:rPr>
      </w:pPr>
      <w:r>
        <w:rPr>
          <w:rFonts w:hint="eastAsia" w:ascii="宋体" w:hAnsi="宋体"/>
          <w:snapToGrid w:val="0"/>
          <w:color w:val="auto"/>
          <w:sz w:val="21"/>
          <w:szCs w:val="21"/>
          <w:highlight w:val="none"/>
        </w:rPr>
        <w:t xml:space="preserve">法定代表人或                          </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 xml:space="preserve"> 法定代表人或</w:t>
      </w:r>
    </w:p>
    <w:p>
      <w:pPr>
        <w:pStyle w:val="57"/>
        <w:snapToGrid w:val="0"/>
        <w:spacing w:before="0" w:after="0" w:line="360" w:lineRule="auto"/>
        <w:ind w:left="0" w:right="720"/>
        <w:rPr>
          <w:rFonts w:ascii="宋体"/>
          <w:snapToGrid w:val="0"/>
          <w:color w:val="auto"/>
          <w:sz w:val="21"/>
          <w:szCs w:val="21"/>
          <w:highlight w:val="none"/>
        </w:rPr>
      </w:pPr>
      <w:r>
        <w:rPr>
          <w:rFonts w:hint="eastAsia" w:ascii="宋体" w:hAnsi="宋体"/>
          <w:snapToGrid w:val="0"/>
          <w:color w:val="auto"/>
          <w:sz w:val="21"/>
          <w:szCs w:val="21"/>
          <w:highlight w:val="none"/>
        </w:rPr>
        <w:t xml:space="preserve">委托代理人：                          </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 xml:space="preserve"> 委托代理人：</w:t>
      </w:r>
    </w:p>
    <w:p>
      <w:pPr>
        <w:pStyle w:val="57"/>
        <w:snapToGrid w:val="0"/>
        <w:spacing w:before="0" w:after="0" w:line="360" w:lineRule="auto"/>
        <w:ind w:left="0" w:right="720"/>
        <w:rPr>
          <w:rFonts w:ascii="宋体"/>
          <w:snapToGrid w:val="0"/>
          <w:color w:val="auto"/>
          <w:sz w:val="21"/>
          <w:szCs w:val="21"/>
          <w:highlight w:val="none"/>
        </w:rPr>
      </w:pPr>
      <w:r>
        <w:rPr>
          <w:rFonts w:hint="eastAsia" w:ascii="宋体" w:hAnsi="宋体"/>
          <w:snapToGrid w:val="0"/>
          <w:color w:val="auto"/>
          <w:sz w:val="21"/>
          <w:szCs w:val="21"/>
          <w:highlight w:val="none"/>
        </w:rPr>
        <w:t xml:space="preserve">电话：                                 </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电 话：</w:t>
      </w:r>
    </w:p>
    <w:p>
      <w:pPr>
        <w:pStyle w:val="57"/>
        <w:snapToGrid w:val="0"/>
        <w:spacing w:before="0" w:after="0" w:line="360" w:lineRule="auto"/>
        <w:ind w:left="0" w:right="720"/>
        <w:rPr>
          <w:rFonts w:ascii="宋体"/>
          <w:snapToGrid w:val="0"/>
          <w:color w:val="auto"/>
          <w:sz w:val="21"/>
          <w:szCs w:val="21"/>
          <w:highlight w:val="none"/>
        </w:rPr>
      </w:pPr>
      <w:r>
        <w:rPr>
          <w:rFonts w:hint="eastAsia" w:ascii="宋体" w:hAnsi="宋体"/>
          <w:snapToGrid w:val="0"/>
          <w:color w:val="auto"/>
          <w:sz w:val="21"/>
          <w:szCs w:val="21"/>
          <w:highlight w:val="none"/>
        </w:rPr>
        <w:t xml:space="preserve">                                      </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 xml:space="preserve"> 开 户 银 行： </w:t>
      </w:r>
    </w:p>
    <w:p>
      <w:pPr>
        <w:pStyle w:val="57"/>
        <w:snapToGrid w:val="0"/>
        <w:spacing w:before="0" w:after="0" w:line="360" w:lineRule="auto"/>
        <w:ind w:left="0" w:right="720"/>
        <w:rPr>
          <w:rFonts w:ascii="宋体"/>
          <w:snapToGrid w:val="0"/>
          <w:color w:val="auto"/>
          <w:sz w:val="21"/>
          <w:szCs w:val="21"/>
          <w:highlight w:val="none"/>
        </w:rPr>
      </w:pPr>
      <w:r>
        <w:rPr>
          <w:rFonts w:hint="eastAsia" w:ascii="宋体" w:hAnsi="宋体"/>
          <w:snapToGrid w:val="0"/>
          <w:color w:val="auto"/>
          <w:sz w:val="21"/>
          <w:szCs w:val="21"/>
          <w:highlight w:val="none"/>
        </w:rPr>
        <w:t xml:space="preserve">                                       </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帐 号：</w:t>
      </w:r>
    </w:p>
    <w:p>
      <w:pPr>
        <w:pStyle w:val="57"/>
        <w:snapToGrid w:val="0"/>
        <w:spacing w:before="0" w:after="0" w:line="360" w:lineRule="auto"/>
        <w:ind w:left="0" w:right="720"/>
        <w:rPr>
          <w:rFonts w:ascii="宋体" w:hAnsi="宋体"/>
          <w:snapToGrid w:val="0"/>
          <w:color w:val="auto"/>
          <w:sz w:val="21"/>
          <w:szCs w:val="21"/>
          <w:highlight w:val="none"/>
        </w:rPr>
      </w:pPr>
    </w:p>
    <w:p>
      <w:pPr>
        <w:pStyle w:val="57"/>
        <w:snapToGrid w:val="0"/>
        <w:spacing w:before="0" w:after="0" w:line="360" w:lineRule="auto"/>
        <w:ind w:left="0" w:right="720"/>
        <w:rPr>
          <w:rFonts w:ascii="宋体" w:hAnsi="宋体"/>
          <w:snapToGrid w:val="0"/>
          <w:color w:val="auto"/>
          <w:sz w:val="21"/>
          <w:szCs w:val="21"/>
          <w:highlight w:val="none"/>
        </w:rPr>
      </w:pPr>
    </w:p>
    <w:p>
      <w:pPr>
        <w:pStyle w:val="57"/>
        <w:snapToGrid w:val="0"/>
        <w:spacing w:before="0" w:after="0" w:line="360" w:lineRule="auto"/>
        <w:ind w:left="0" w:right="720"/>
        <w:rPr>
          <w:rFonts w:ascii="宋体"/>
          <w:snapToGrid w:val="0"/>
          <w:color w:val="auto"/>
          <w:sz w:val="21"/>
          <w:szCs w:val="21"/>
          <w:highlight w:val="none"/>
        </w:rPr>
      </w:pPr>
      <w:r>
        <w:rPr>
          <w:rFonts w:hint="eastAsia" w:ascii="宋体" w:hAnsi="宋体"/>
          <w:snapToGrid w:val="0"/>
          <w:color w:val="auto"/>
          <w:sz w:val="21"/>
          <w:szCs w:val="21"/>
          <w:highlight w:val="none"/>
        </w:rPr>
        <w:t>签订日期：   年    月    日</w:t>
      </w:r>
    </w:p>
    <w:p>
      <w:pPr>
        <w:adjustRightInd w:val="0"/>
        <w:snapToGrid w:val="0"/>
        <w:spacing w:line="360" w:lineRule="auto"/>
        <w:ind w:firstLine="4440" w:firstLineChars="1850"/>
        <w:rPr>
          <w:rFonts w:ascii="宋体" w:hAnsi="宋体"/>
          <w:snapToGrid w:val="0"/>
          <w:color w:val="auto"/>
          <w:kern w:val="0"/>
          <w:sz w:val="24"/>
          <w:highlight w:val="none"/>
        </w:rPr>
      </w:pPr>
    </w:p>
    <w:p>
      <w:pPr>
        <w:pStyle w:val="6"/>
        <w:keepNext/>
        <w:keepLines/>
        <w:numPr>
          <w:ilvl w:val="1"/>
          <w:numId w:val="0"/>
        </w:numPr>
        <w:ind w:left="420" w:hanging="420"/>
        <w:rPr>
          <w:vanish/>
          <w:color w:val="auto"/>
          <w:highlight w:val="none"/>
        </w:rPr>
      </w:pPr>
    </w:p>
    <w:p>
      <w:pPr>
        <w:pStyle w:val="5"/>
        <w:jc w:val="center"/>
        <w:rPr>
          <w:color w:val="auto"/>
          <w:highlight w:val="none"/>
        </w:rPr>
      </w:pPr>
      <w:r>
        <w:rPr>
          <w:color w:val="auto"/>
          <w:highlight w:val="none"/>
        </w:rPr>
        <w:br w:type="page"/>
      </w:r>
      <w:bookmarkStart w:id="9" w:name="_Toc33448444"/>
      <w:bookmarkStart w:id="10" w:name="_Toc133502168"/>
      <w:r>
        <w:rPr>
          <w:rFonts w:hint="eastAsia"/>
          <w:color w:val="auto"/>
          <w:highlight w:val="none"/>
        </w:rPr>
        <w:t>第二部分  通用条款</w:t>
      </w:r>
      <w:bookmarkEnd w:id="9"/>
      <w:bookmarkEnd w:id="10"/>
    </w:p>
    <w:p>
      <w:pPr>
        <w:adjustRightInd w:val="0"/>
        <w:snapToGrid w:val="0"/>
        <w:spacing w:line="360" w:lineRule="auto"/>
        <w:jc w:val="center"/>
        <w:rPr>
          <w:color w:val="auto"/>
          <w:highlight w:val="none"/>
        </w:rPr>
      </w:pPr>
    </w:p>
    <w:p>
      <w:pPr>
        <w:adjustRightInd w:val="0"/>
        <w:snapToGrid w:val="0"/>
        <w:spacing w:line="360" w:lineRule="auto"/>
        <w:jc w:val="center"/>
        <w:rPr>
          <w:b/>
          <w:color w:val="auto"/>
          <w:sz w:val="28"/>
          <w:szCs w:val="28"/>
          <w:highlight w:val="none"/>
        </w:rPr>
      </w:pPr>
      <w:r>
        <w:rPr>
          <w:rFonts w:hint="eastAsia"/>
          <w:b/>
          <w:color w:val="auto"/>
          <w:sz w:val="28"/>
          <w:szCs w:val="28"/>
          <w:highlight w:val="none"/>
        </w:rPr>
        <w:t>目  录</w:t>
      </w:r>
    </w:p>
    <w:p>
      <w:pPr>
        <w:adjustRightInd w:val="0"/>
        <w:snapToGrid w:val="0"/>
        <w:spacing w:line="360" w:lineRule="auto"/>
        <w:jc w:val="center"/>
        <w:rPr>
          <w:color w:val="auto"/>
          <w:highlight w:val="none"/>
        </w:rPr>
      </w:pP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TOC </w:instrText>
      </w:r>
      <w:r>
        <w:rPr>
          <w:rFonts w:hint="eastAsia"/>
          <w:color w:val="auto"/>
          <w:highlight w:val="none"/>
        </w:rPr>
        <w:instrText xml:space="preserve">\b</w:instrText>
      </w:r>
      <w:r>
        <w:rPr>
          <w:color w:val="auto"/>
          <w:highlight w:val="none"/>
        </w:rPr>
        <w:instrText xml:space="preserve"> p2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"_Toc5637" </w:instrText>
      </w:r>
      <w:r>
        <w:rPr>
          <w:color w:val="auto"/>
          <w:highlight w:val="none"/>
        </w:rPr>
        <w:fldChar w:fldCharType="separate"/>
      </w:r>
      <w:r>
        <w:rPr>
          <w:rFonts w:hint="eastAsia"/>
          <w:snapToGrid w:val="0"/>
          <w:color w:val="auto"/>
          <w:kern w:val="0"/>
          <w:highlight w:val="none"/>
        </w:rPr>
        <w:t xml:space="preserve">1. </w:t>
      </w:r>
      <w:r>
        <w:rPr>
          <w:rFonts w:hint="eastAsia"/>
          <w:color w:val="auto"/>
          <w:highlight w:val="none"/>
        </w:rPr>
        <w:t>一般约定</w:t>
      </w:r>
      <w:r>
        <w:rPr>
          <w:color w:val="auto"/>
          <w:highlight w:val="none"/>
        </w:rPr>
        <w:tab/>
      </w:r>
      <w:r>
        <w:rPr>
          <w:color w:val="auto"/>
          <w:highlight w:val="none"/>
        </w:rPr>
        <w:fldChar w:fldCharType="begin"/>
      </w:r>
      <w:r>
        <w:rPr>
          <w:color w:val="auto"/>
          <w:highlight w:val="none"/>
        </w:rPr>
        <w:instrText xml:space="preserve"> PAGEREF _Toc5637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"_Toc6607" </w:instrText>
      </w:r>
      <w:r>
        <w:rPr>
          <w:color w:val="auto"/>
          <w:highlight w:val="none"/>
        </w:rPr>
        <w:fldChar w:fldCharType="separate"/>
      </w:r>
      <w:r>
        <w:rPr>
          <w:rFonts w:hint="eastAsia"/>
          <w:snapToGrid w:val="0"/>
          <w:color w:val="auto"/>
          <w:kern w:val="0"/>
          <w:highlight w:val="none"/>
        </w:rPr>
        <w:t xml:space="preserve">2. </w:t>
      </w:r>
      <w:r>
        <w:rPr>
          <w:rFonts w:hint="eastAsia"/>
          <w:color w:val="auto"/>
          <w:highlight w:val="none"/>
        </w:rPr>
        <w:t>发包人</w:t>
      </w:r>
      <w:r>
        <w:rPr>
          <w:color w:val="auto"/>
          <w:highlight w:val="none"/>
        </w:rPr>
        <w:tab/>
      </w:r>
      <w:r>
        <w:rPr>
          <w:color w:val="auto"/>
          <w:highlight w:val="none"/>
        </w:rPr>
        <w:fldChar w:fldCharType="begin"/>
      </w:r>
      <w:r>
        <w:rPr>
          <w:color w:val="auto"/>
          <w:highlight w:val="none"/>
        </w:rPr>
        <w:instrText xml:space="preserve"> PAGEREF _Toc6607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"_Toc17731" </w:instrText>
      </w:r>
      <w:r>
        <w:rPr>
          <w:color w:val="auto"/>
          <w:highlight w:val="none"/>
        </w:rPr>
        <w:fldChar w:fldCharType="separate"/>
      </w:r>
      <w:r>
        <w:rPr>
          <w:rFonts w:hint="eastAsia"/>
          <w:snapToGrid w:val="0"/>
          <w:color w:val="auto"/>
          <w:kern w:val="0"/>
          <w:highlight w:val="none"/>
        </w:rPr>
        <w:t xml:space="preserve">3. </w:t>
      </w:r>
      <w:r>
        <w:rPr>
          <w:rFonts w:hint="eastAsia"/>
          <w:color w:val="auto"/>
          <w:highlight w:val="none"/>
        </w:rPr>
        <w:t>监理人及造价咨询人</w:t>
      </w:r>
      <w:r>
        <w:rPr>
          <w:color w:val="auto"/>
          <w:highlight w:val="none"/>
        </w:rPr>
        <w:tab/>
      </w:r>
      <w:r>
        <w:rPr>
          <w:color w:val="auto"/>
          <w:highlight w:val="none"/>
        </w:rPr>
        <w:fldChar w:fldCharType="begin"/>
      </w:r>
      <w:r>
        <w:rPr>
          <w:color w:val="auto"/>
          <w:highlight w:val="none"/>
        </w:rPr>
        <w:instrText xml:space="preserve"> PAGEREF _Toc17731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"_Toc27552" </w:instrText>
      </w:r>
      <w:r>
        <w:rPr>
          <w:color w:val="auto"/>
          <w:highlight w:val="none"/>
        </w:rPr>
        <w:fldChar w:fldCharType="separate"/>
      </w:r>
      <w:r>
        <w:rPr>
          <w:rFonts w:hint="eastAsia"/>
          <w:snapToGrid w:val="0"/>
          <w:color w:val="auto"/>
          <w:kern w:val="0"/>
          <w:highlight w:val="none"/>
        </w:rPr>
        <w:t xml:space="preserve">4. </w:t>
      </w:r>
      <w:r>
        <w:rPr>
          <w:rFonts w:hint="eastAsia"/>
          <w:color w:val="auto"/>
          <w:highlight w:val="none"/>
        </w:rPr>
        <w:t>承包人</w:t>
      </w:r>
      <w:r>
        <w:rPr>
          <w:color w:val="auto"/>
          <w:highlight w:val="none"/>
        </w:rPr>
        <w:tab/>
      </w:r>
      <w:r>
        <w:rPr>
          <w:color w:val="auto"/>
          <w:highlight w:val="none"/>
        </w:rPr>
        <w:fldChar w:fldCharType="begin"/>
      </w:r>
      <w:r>
        <w:rPr>
          <w:color w:val="auto"/>
          <w:highlight w:val="none"/>
        </w:rPr>
        <w:instrText xml:space="preserve"> PAGEREF _Toc27552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"_Toc22216" </w:instrText>
      </w:r>
      <w:r>
        <w:rPr>
          <w:color w:val="auto"/>
          <w:highlight w:val="none"/>
        </w:rPr>
        <w:fldChar w:fldCharType="separate"/>
      </w:r>
      <w:r>
        <w:rPr>
          <w:rFonts w:hint="eastAsia"/>
          <w:snapToGrid w:val="0"/>
          <w:color w:val="auto"/>
          <w:kern w:val="0"/>
          <w:highlight w:val="none"/>
        </w:rPr>
        <w:t xml:space="preserve">5. </w:t>
      </w:r>
      <w:r>
        <w:rPr>
          <w:rFonts w:hint="eastAsia"/>
          <w:color w:val="auto"/>
          <w:highlight w:val="none"/>
        </w:rPr>
        <w:t>材料和工程设备</w:t>
      </w:r>
      <w:r>
        <w:rPr>
          <w:color w:val="auto"/>
          <w:highlight w:val="none"/>
        </w:rPr>
        <w:tab/>
      </w:r>
      <w:r>
        <w:rPr>
          <w:color w:val="auto"/>
          <w:highlight w:val="none"/>
        </w:rPr>
        <w:fldChar w:fldCharType="begin"/>
      </w:r>
      <w:r>
        <w:rPr>
          <w:color w:val="auto"/>
          <w:highlight w:val="none"/>
        </w:rPr>
        <w:instrText xml:space="preserve"> PAGEREF _Toc22216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"_Toc12615" </w:instrText>
      </w:r>
      <w:r>
        <w:rPr>
          <w:color w:val="auto"/>
          <w:highlight w:val="none"/>
        </w:rPr>
        <w:fldChar w:fldCharType="separate"/>
      </w:r>
      <w:r>
        <w:rPr>
          <w:rFonts w:hint="eastAsia"/>
          <w:snapToGrid w:val="0"/>
          <w:color w:val="auto"/>
          <w:kern w:val="0"/>
          <w:highlight w:val="none"/>
        </w:rPr>
        <w:t xml:space="preserve">6. </w:t>
      </w:r>
      <w:r>
        <w:rPr>
          <w:rFonts w:hint="eastAsia"/>
          <w:color w:val="auto"/>
          <w:highlight w:val="none"/>
        </w:rPr>
        <w:t>施工设备和临时设施</w:t>
      </w:r>
      <w:r>
        <w:rPr>
          <w:color w:val="auto"/>
          <w:highlight w:val="none"/>
        </w:rPr>
        <w:tab/>
      </w:r>
      <w:r>
        <w:rPr>
          <w:color w:val="auto"/>
          <w:highlight w:val="none"/>
        </w:rPr>
        <w:fldChar w:fldCharType="begin"/>
      </w:r>
      <w:r>
        <w:rPr>
          <w:color w:val="auto"/>
          <w:highlight w:val="none"/>
        </w:rPr>
        <w:instrText xml:space="preserve"> PAGEREF _Toc12615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"_Toc27095" </w:instrText>
      </w:r>
      <w:r>
        <w:rPr>
          <w:color w:val="auto"/>
          <w:highlight w:val="none"/>
        </w:rPr>
        <w:fldChar w:fldCharType="separate"/>
      </w:r>
      <w:r>
        <w:rPr>
          <w:rFonts w:hint="eastAsia"/>
          <w:snapToGrid w:val="0"/>
          <w:color w:val="auto"/>
          <w:kern w:val="0"/>
          <w:highlight w:val="none"/>
        </w:rPr>
        <w:t xml:space="preserve">7. </w:t>
      </w:r>
      <w:r>
        <w:rPr>
          <w:rFonts w:hint="eastAsia"/>
          <w:color w:val="auto"/>
          <w:highlight w:val="none"/>
        </w:rPr>
        <w:t>交通运输</w:t>
      </w:r>
      <w:r>
        <w:rPr>
          <w:color w:val="auto"/>
          <w:highlight w:val="none"/>
        </w:rPr>
        <w:tab/>
      </w:r>
      <w:r>
        <w:rPr>
          <w:color w:val="auto"/>
          <w:highlight w:val="none"/>
        </w:rPr>
        <w:fldChar w:fldCharType="begin"/>
      </w:r>
      <w:r>
        <w:rPr>
          <w:color w:val="auto"/>
          <w:highlight w:val="none"/>
        </w:rPr>
        <w:instrText xml:space="preserve"> PAGEREF _Toc27095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"_Toc21552" </w:instrText>
      </w:r>
      <w:r>
        <w:rPr>
          <w:color w:val="auto"/>
          <w:highlight w:val="none"/>
        </w:rPr>
        <w:fldChar w:fldCharType="separate"/>
      </w:r>
      <w:r>
        <w:rPr>
          <w:rFonts w:hint="eastAsia"/>
          <w:snapToGrid w:val="0"/>
          <w:color w:val="auto"/>
          <w:kern w:val="0"/>
          <w:highlight w:val="none"/>
        </w:rPr>
        <w:t xml:space="preserve">8. </w:t>
      </w:r>
      <w:r>
        <w:rPr>
          <w:rFonts w:hint="eastAsia"/>
          <w:color w:val="auto"/>
          <w:highlight w:val="none"/>
        </w:rPr>
        <w:t>测量放线</w:t>
      </w:r>
      <w:r>
        <w:rPr>
          <w:color w:val="auto"/>
          <w:highlight w:val="none"/>
        </w:rPr>
        <w:tab/>
      </w:r>
      <w:r>
        <w:rPr>
          <w:color w:val="auto"/>
          <w:highlight w:val="none"/>
        </w:rPr>
        <w:fldChar w:fldCharType="begin"/>
      </w:r>
      <w:r>
        <w:rPr>
          <w:color w:val="auto"/>
          <w:highlight w:val="none"/>
        </w:rPr>
        <w:instrText xml:space="preserve"> PAGEREF _Toc21552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"_Toc21629" </w:instrText>
      </w:r>
      <w:r>
        <w:rPr>
          <w:color w:val="auto"/>
          <w:highlight w:val="none"/>
        </w:rPr>
        <w:fldChar w:fldCharType="separate"/>
      </w:r>
      <w:r>
        <w:rPr>
          <w:rFonts w:hint="eastAsia"/>
          <w:snapToGrid w:val="0"/>
          <w:color w:val="auto"/>
          <w:kern w:val="0"/>
          <w:highlight w:val="none"/>
        </w:rPr>
        <w:t xml:space="preserve">9. </w:t>
      </w:r>
      <w:r>
        <w:rPr>
          <w:rFonts w:hint="eastAsia"/>
          <w:color w:val="auto"/>
          <w:highlight w:val="none"/>
        </w:rPr>
        <w:t>施工安全、治安保卫和环境保护</w:t>
      </w:r>
      <w:r>
        <w:rPr>
          <w:color w:val="auto"/>
          <w:highlight w:val="none"/>
        </w:rPr>
        <w:tab/>
      </w:r>
      <w:r>
        <w:rPr>
          <w:color w:val="auto"/>
          <w:highlight w:val="none"/>
        </w:rPr>
        <w:fldChar w:fldCharType="begin"/>
      </w:r>
      <w:r>
        <w:rPr>
          <w:color w:val="auto"/>
          <w:highlight w:val="none"/>
        </w:rPr>
        <w:instrText xml:space="preserve"> PAGEREF _Toc21629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"_Toc25406" </w:instrText>
      </w:r>
      <w:r>
        <w:rPr>
          <w:color w:val="auto"/>
          <w:highlight w:val="none"/>
        </w:rPr>
        <w:fldChar w:fldCharType="separate"/>
      </w:r>
      <w:r>
        <w:rPr>
          <w:rFonts w:hint="eastAsia"/>
          <w:snapToGrid w:val="0"/>
          <w:color w:val="auto"/>
          <w:kern w:val="0"/>
          <w:highlight w:val="none"/>
        </w:rPr>
        <w:t xml:space="preserve">10. </w:t>
      </w:r>
      <w:r>
        <w:rPr>
          <w:rFonts w:hint="eastAsia"/>
          <w:color w:val="auto"/>
          <w:highlight w:val="none"/>
        </w:rPr>
        <w:t>进度计划</w:t>
      </w:r>
      <w:r>
        <w:rPr>
          <w:color w:val="auto"/>
          <w:highlight w:val="none"/>
        </w:rPr>
        <w:tab/>
      </w:r>
      <w:r>
        <w:rPr>
          <w:color w:val="auto"/>
          <w:highlight w:val="none"/>
        </w:rPr>
        <w:fldChar w:fldCharType="begin"/>
      </w:r>
      <w:r>
        <w:rPr>
          <w:color w:val="auto"/>
          <w:highlight w:val="none"/>
        </w:rPr>
        <w:instrText xml:space="preserve"> PAGEREF _Toc25406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"_Toc24305" </w:instrText>
      </w:r>
      <w:r>
        <w:rPr>
          <w:color w:val="auto"/>
          <w:highlight w:val="none"/>
        </w:rPr>
        <w:fldChar w:fldCharType="separate"/>
      </w:r>
      <w:r>
        <w:rPr>
          <w:rFonts w:hint="eastAsia"/>
          <w:snapToGrid w:val="0"/>
          <w:color w:val="auto"/>
          <w:kern w:val="0"/>
          <w:highlight w:val="none"/>
        </w:rPr>
        <w:t xml:space="preserve">11. </w:t>
      </w:r>
      <w:r>
        <w:rPr>
          <w:rFonts w:hint="eastAsia"/>
          <w:color w:val="auto"/>
          <w:highlight w:val="none"/>
        </w:rPr>
        <w:t>开工和竣工</w:t>
      </w:r>
      <w:r>
        <w:rPr>
          <w:color w:val="auto"/>
          <w:highlight w:val="none"/>
        </w:rPr>
        <w:tab/>
      </w:r>
      <w:r>
        <w:rPr>
          <w:color w:val="auto"/>
          <w:highlight w:val="none"/>
        </w:rPr>
        <w:fldChar w:fldCharType="begin"/>
      </w:r>
      <w:r>
        <w:rPr>
          <w:color w:val="auto"/>
          <w:highlight w:val="none"/>
        </w:rPr>
        <w:instrText xml:space="preserve"> PAGEREF _Toc24305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"_Toc12071" </w:instrText>
      </w:r>
      <w:r>
        <w:rPr>
          <w:color w:val="auto"/>
          <w:highlight w:val="none"/>
        </w:rPr>
        <w:fldChar w:fldCharType="separate"/>
      </w:r>
      <w:r>
        <w:rPr>
          <w:rFonts w:hint="eastAsia"/>
          <w:snapToGrid w:val="0"/>
          <w:color w:val="auto"/>
          <w:kern w:val="0"/>
          <w:highlight w:val="none"/>
        </w:rPr>
        <w:t xml:space="preserve">12. </w:t>
      </w:r>
      <w:r>
        <w:rPr>
          <w:rFonts w:hint="eastAsia"/>
          <w:color w:val="auto"/>
          <w:highlight w:val="none"/>
        </w:rPr>
        <w:t>暂停施工</w:t>
      </w:r>
      <w:r>
        <w:rPr>
          <w:color w:val="auto"/>
          <w:highlight w:val="none"/>
        </w:rPr>
        <w:tab/>
      </w:r>
      <w:r>
        <w:rPr>
          <w:color w:val="auto"/>
          <w:highlight w:val="none"/>
        </w:rPr>
        <w:fldChar w:fldCharType="begin"/>
      </w:r>
      <w:r>
        <w:rPr>
          <w:color w:val="auto"/>
          <w:highlight w:val="none"/>
        </w:rPr>
        <w:instrText xml:space="preserve"> PAGEREF _Toc12071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"_Toc770" </w:instrText>
      </w:r>
      <w:r>
        <w:rPr>
          <w:color w:val="auto"/>
          <w:highlight w:val="none"/>
        </w:rPr>
        <w:fldChar w:fldCharType="separate"/>
      </w:r>
      <w:r>
        <w:rPr>
          <w:rFonts w:hint="eastAsia"/>
          <w:snapToGrid w:val="0"/>
          <w:color w:val="auto"/>
          <w:kern w:val="0"/>
          <w:highlight w:val="none"/>
        </w:rPr>
        <w:t xml:space="preserve">13. </w:t>
      </w:r>
      <w:r>
        <w:rPr>
          <w:rFonts w:hint="eastAsia"/>
          <w:color w:val="auto"/>
          <w:highlight w:val="none"/>
        </w:rPr>
        <w:t>工程质量</w:t>
      </w:r>
      <w:r>
        <w:rPr>
          <w:color w:val="auto"/>
          <w:highlight w:val="none"/>
        </w:rPr>
        <w:tab/>
      </w:r>
      <w:r>
        <w:rPr>
          <w:color w:val="auto"/>
          <w:highlight w:val="none"/>
        </w:rPr>
        <w:fldChar w:fldCharType="begin"/>
      </w:r>
      <w:r>
        <w:rPr>
          <w:color w:val="auto"/>
          <w:highlight w:val="none"/>
        </w:rPr>
        <w:instrText xml:space="preserve"> PAGEREF _Toc770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"_Toc20138" </w:instrText>
      </w:r>
      <w:r>
        <w:rPr>
          <w:color w:val="auto"/>
          <w:highlight w:val="none"/>
        </w:rPr>
        <w:fldChar w:fldCharType="separate"/>
      </w:r>
      <w:r>
        <w:rPr>
          <w:rFonts w:hint="eastAsia"/>
          <w:snapToGrid w:val="0"/>
          <w:color w:val="auto"/>
          <w:kern w:val="0"/>
          <w:highlight w:val="none"/>
        </w:rPr>
        <w:t xml:space="preserve">14. </w:t>
      </w:r>
      <w:r>
        <w:rPr>
          <w:rFonts w:hint="eastAsia"/>
          <w:color w:val="auto"/>
          <w:highlight w:val="none"/>
        </w:rPr>
        <w:t>试验和检验</w:t>
      </w:r>
      <w:r>
        <w:rPr>
          <w:color w:val="auto"/>
          <w:highlight w:val="none"/>
        </w:rPr>
        <w:tab/>
      </w:r>
      <w:r>
        <w:rPr>
          <w:color w:val="auto"/>
          <w:highlight w:val="none"/>
        </w:rPr>
        <w:fldChar w:fldCharType="begin"/>
      </w:r>
      <w:r>
        <w:rPr>
          <w:color w:val="auto"/>
          <w:highlight w:val="none"/>
        </w:rPr>
        <w:instrText xml:space="preserve"> PAGEREF _Toc20138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"_Toc6139" </w:instrText>
      </w:r>
      <w:r>
        <w:rPr>
          <w:color w:val="auto"/>
          <w:highlight w:val="none"/>
        </w:rPr>
        <w:fldChar w:fldCharType="separate"/>
      </w:r>
      <w:r>
        <w:rPr>
          <w:rFonts w:hint="eastAsia"/>
          <w:snapToGrid w:val="0"/>
          <w:color w:val="auto"/>
          <w:kern w:val="0"/>
          <w:highlight w:val="none"/>
        </w:rPr>
        <w:t xml:space="preserve">15. </w:t>
      </w:r>
      <w:r>
        <w:rPr>
          <w:rFonts w:hint="eastAsia"/>
          <w:color w:val="auto"/>
          <w:highlight w:val="none"/>
        </w:rPr>
        <w:t>变更</w:t>
      </w:r>
      <w:r>
        <w:rPr>
          <w:color w:val="auto"/>
          <w:highlight w:val="none"/>
        </w:rPr>
        <w:tab/>
      </w:r>
      <w:r>
        <w:rPr>
          <w:color w:val="auto"/>
          <w:highlight w:val="none"/>
        </w:rPr>
        <w:fldChar w:fldCharType="begin"/>
      </w:r>
      <w:r>
        <w:rPr>
          <w:color w:val="auto"/>
          <w:highlight w:val="none"/>
        </w:rPr>
        <w:instrText xml:space="preserve"> PAGEREF _Toc6139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"_Toc29022" </w:instrText>
      </w:r>
      <w:r>
        <w:rPr>
          <w:color w:val="auto"/>
          <w:highlight w:val="none"/>
        </w:rPr>
        <w:fldChar w:fldCharType="separate"/>
      </w:r>
      <w:r>
        <w:rPr>
          <w:rFonts w:hint="eastAsia"/>
          <w:snapToGrid w:val="0"/>
          <w:color w:val="auto"/>
          <w:kern w:val="0"/>
          <w:highlight w:val="none"/>
        </w:rPr>
        <w:t xml:space="preserve">16. </w:t>
      </w:r>
      <w:r>
        <w:rPr>
          <w:rFonts w:hint="eastAsia"/>
          <w:color w:val="auto"/>
          <w:highlight w:val="none"/>
        </w:rPr>
        <w:t>价格调整</w:t>
      </w:r>
      <w:r>
        <w:rPr>
          <w:color w:val="auto"/>
          <w:highlight w:val="none"/>
        </w:rPr>
        <w:tab/>
      </w:r>
      <w:r>
        <w:rPr>
          <w:color w:val="auto"/>
          <w:highlight w:val="none"/>
        </w:rPr>
        <w:fldChar w:fldCharType="begin"/>
      </w:r>
      <w:r>
        <w:rPr>
          <w:color w:val="auto"/>
          <w:highlight w:val="none"/>
        </w:rPr>
        <w:instrText xml:space="preserve"> PAGEREF _Toc29022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"_Toc22179" </w:instrText>
      </w:r>
      <w:r>
        <w:rPr>
          <w:color w:val="auto"/>
          <w:highlight w:val="none"/>
        </w:rPr>
        <w:fldChar w:fldCharType="separate"/>
      </w:r>
      <w:r>
        <w:rPr>
          <w:rFonts w:hint="eastAsia"/>
          <w:snapToGrid w:val="0"/>
          <w:color w:val="auto"/>
          <w:kern w:val="0"/>
          <w:highlight w:val="none"/>
        </w:rPr>
        <w:t xml:space="preserve">17. </w:t>
      </w:r>
      <w:r>
        <w:rPr>
          <w:rFonts w:hint="eastAsia"/>
          <w:color w:val="auto"/>
          <w:highlight w:val="none"/>
        </w:rPr>
        <w:t>计量与支付</w:t>
      </w:r>
      <w:r>
        <w:rPr>
          <w:color w:val="auto"/>
          <w:highlight w:val="none"/>
        </w:rPr>
        <w:tab/>
      </w:r>
      <w:r>
        <w:rPr>
          <w:color w:val="auto"/>
          <w:highlight w:val="none"/>
        </w:rPr>
        <w:fldChar w:fldCharType="begin"/>
      </w:r>
      <w:r>
        <w:rPr>
          <w:color w:val="auto"/>
          <w:highlight w:val="none"/>
        </w:rPr>
        <w:instrText xml:space="preserve"> PAGEREF _Toc22179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"_Toc24118" </w:instrText>
      </w:r>
      <w:r>
        <w:rPr>
          <w:color w:val="auto"/>
          <w:highlight w:val="none"/>
        </w:rPr>
        <w:fldChar w:fldCharType="separate"/>
      </w:r>
      <w:r>
        <w:rPr>
          <w:rFonts w:hint="eastAsia"/>
          <w:snapToGrid w:val="0"/>
          <w:color w:val="auto"/>
          <w:kern w:val="0"/>
          <w:highlight w:val="none"/>
        </w:rPr>
        <w:t xml:space="preserve">18. </w:t>
      </w:r>
      <w:r>
        <w:rPr>
          <w:rFonts w:hint="eastAsia"/>
          <w:color w:val="auto"/>
          <w:highlight w:val="none"/>
        </w:rPr>
        <w:t>竣工验收</w:t>
      </w:r>
      <w:r>
        <w:rPr>
          <w:color w:val="auto"/>
          <w:highlight w:val="none"/>
        </w:rPr>
        <w:tab/>
      </w:r>
      <w:r>
        <w:rPr>
          <w:color w:val="auto"/>
          <w:highlight w:val="none"/>
        </w:rPr>
        <w:fldChar w:fldCharType="begin"/>
      </w:r>
      <w:r>
        <w:rPr>
          <w:color w:val="auto"/>
          <w:highlight w:val="none"/>
        </w:rPr>
        <w:instrText xml:space="preserve"> PAGEREF _Toc24118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"_Toc15941" </w:instrText>
      </w:r>
      <w:r>
        <w:rPr>
          <w:color w:val="auto"/>
          <w:highlight w:val="none"/>
        </w:rPr>
        <w:fldChar w:fldCharType="separate"/>
      </w:r>
      <w:r>
        <w:rPr>
          <w:rFonts w:hint="eastAsia"/>
          <w:snapToGrid w:val="0"/>
          <w:color w:val="auto"/>
          <w:kern w:val="0"/>
          <w:highlight w:val="none"/>
        </w:rPr>
        <w:t xml:space="preserve">19. </w:t>
      </w:r>
      <w:r>
        <w:rPr>
          <w:rFonts w:hint="eastAsia"/>
          <w:color w:val="auto"/>
          <w:highlight w:val="none"/>
        </w:rPr>
        <w:t>缺陷责任与保修</w:t>
      </w:r>
      <w:r>
        <w:rPr>
          <w:color w:val="auto"/>
          <w:highlight w:val="none"/>
        </w:rPr>
        <w:tab/>
      </w:r>
      <w:r>
        <w:rPr>
          <w:color w:val="auto"/>
          <w:highlight w:val="none"/>
        </w:rPr>
        <w:fldChar w:fldCharType="begin"/>
      </w:r>
      <w:r>
        <w:rPr>
          <w:color w:val="auto"/>
          <w:highlight w:val="none"/>
        </w:rPr>
        <w:instrText xml:space="preserve"> PAGEREF _Toc15941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"_Toc8942" </w:instrText>
      </w:r>
      <w:r>
        <w:rPr>
          <w:color w:val="auto"/>
          <w:highlight w:val="none"/>
        </w:rPr>
        <w:fldChar w:fldCharType="separate"/>
      </w:r>
      <w:r>
        <w:rPr>
          <w:rFonts w:hint="eastAsia"/>
          <w:snapToGrid w:val="0"/>
          <w:color w:val="auto"/>
          <w:kern w:val="0"/>
          <w:highlight w:val="none"/>
        </w:rPr>
        <w:t xml:space="preserve">20. </w:t>
      </w:r>
      <w:r>
        <w:rPr>
          <w:rFonts w:hint="eastAsia"/>
          <w:color w:val="auto"/>
          <w:highlight w:val="none"/>
        </w:rPr>
        <w:t>保险</w:t>
      </w:r>
      <w:r>
        <w:rPr>
          <w:color w:val="auto"/>
          <w:highlight w:val="none"/>
        </w:rPr>
        <w:tab/>
      </w:r>
      <w:r>
        <w:rPr>
          <w:color w:val="auto"/>
          <w:highlight w:val="none"/>
        </w:rPr>
        <w:fldChar w:fldCharType="begin"/>
      </w:r>
      <w:r>
        <w:rPr>
          <w:color w:val="auto"/>
          <w:highlight w:val="none"/>
        </w:rPr>
        <w:instrText xml:space="preserve"> PAGEREF _Toc8942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"_Toc27361" </w:instrText>
      </w:r>
      <w:r>
        <w:rPr>
          <w:color w:val="auto"/>
          <w:highlight w:val="none"/>
        </w:rPr>
        <w:fldChar w:fldCharType="separate"/>
      </w:r>
      <w:r>
        <w:rPr>
          <w:rFonts w:hint="eastAsia"/>
          <w:snapToGrid w:val="0"/>
          <w:color w:val="auto"/>
          <w:kern w:val="0"/>
          <w:highlight w:val="none"/>
        </w:rPr>
        <w:t xml:space="preserve">21. </w:t>
      </w:r>
      <w:r>
        <w:rPr>
          <w:rFonts w:hint="eastAsia"/>
          <w:color w:val="auto"/>
          <w:highlight w:val="none"/>
        </w:rPr>
        <w:t>不可抗力</w:t>
      </w:r>
      <w:r>
        <w:rPr>
          <w:color w:val="auto"/>
          <w:highlight w:val="none"/>
        </w:rPr>
        <w:tab/>
      </w:r>
      <w:r>
        <w:rPr>
          <w:color w:val="auto"/>
          <w:highlight w:val="none"/>
        </w:rPr>
        <w:fldChar w:fldCharType="begin"/>
      </w:r>
      <w:r>
        <w:rPr>
          <w:color w:val="auto"/>
          <w:highlight w:val="none"/>
        </w:rPr>
        <w:instrText xml:space="preserve"> PAGEREF _Toc27361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"_Toc25587" </w:instrText>
      </w:r>
      <w:r>
        <w:rPr>
          <w:color w:val="auto"/>
          <w:highlight w:val="none"/>
        </w:rPr>
        <w:fldChar w:fldCharType="separate"/>
      </w:r>
      <w:r>
        <w:rPr>
          <w:rFonts w:hint="eastAsia"/>
          <w:snapToGrid w:val="0"/>
          <w:color w:val="auto"/>
          <w:kern w:val="0"/>
          <w:highlight w:val="none"/>
        </w:rPr>
        <w:t xml:space="preserve">22. </w:t>
      </w:r>
      <w:r>
        <w:rPr>
          <w:rFonts w:hint="eastAsia"/>
          <w:color w:val="auto"/>
          <w:highlight w:val="none"/>
        </w:rPr>
        <w:t>违约</w:t>
      </w:r>
      <w:r>
        <w:rPr>
          <w:color w:val="auto"/>
          <w:highlight w:val="none"/>
        </w:rPr>
        <w:tab/>
      </w:r>
      <w:r>
        <w:rPr>
          <w:color w:val="auto"/>
          <w:highlight w:val="none"/>
        </w:rPr>
        <w:fldChar w:fldCharType="begin"/>
      </w:r>
      <w:r>
        <w:rPr>
          <w:color w:val="auto"/>
          <w:highlight w:val="none"/>
        </w:rPr>
        <w:instrText xml:space="preserve"> PAGEREF _Toc25587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"_Toc11760" </w:instrText>
      </w:r>
      <w:r>
        <w:rPr>
          <w:color w:val="auto"/>
          <w:highlight w:val="none"/>
        </w:rPr>
        <w:fldChar w:fldCharType="separate"/>
      </w:r>
      <w:r>
        <w:rPr>
          <w:rFonts w:hint="eastAsia"/>
          <w:snapToGrid w:val="0"/>
          <w:color w:val="auto"/>
          <w:kern w:val="0"/>
          <w:highlight w:val="none"/>
        </w:rPr>
        <w:t xml:space="preserve">23. </w:t>
      </w:r>
      <w:r>
        <w:rPr>
          <w:rFonts w:hint="eastAsia"/>
          <w:color w:val="auto"/>
          <w:highlight w:val="none"/>
        </w:rPr>
        <w:t>争议的解决</w:t>
      </w:r>
      <w:r>
        <w:rPr>
          <w:color w:val="auto"/>
          <w:highlight w:val="none"/>
        </w:rPr>
        <w:tab/>
      </w:r>
      <w:r>
        <w:rPr>
          <w:color w:val="auto"/>
          <w:highlight w:val="none"/>
        </w:rPr>
        <w:fldChar w:fldCharType="begin"/>
      </w:r>
      <w:r>
        <w:rPr>
          <w:color w:val="auto"/>
          <w:highlight w:val="none"/>
        </w:rPr>
        <w:instrText xml:space="preserve"> PAGEREF _Toc11760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53"/>
        <w:widowControl w:val="0"/>
        <w:spacing w:before="0" w:line="360" w:lineRule="auto"/>
        <w:ind w:firstLine="420"/>
        <w:rPr>
          <w:color w:val="auto"/>
          <w:highlight w:val="none"/>
        </w:rPr>
      </w:pPr>
      <w:r>
        <w:rPr>
          <w:color w:val="auto"/>
          <w:highlight w:val="none"/>
        </w:rPr>
        <w:fldChar w:fldCharType="end"/>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rPr>
          <w:b/>
          <w:color w:val="auto"/>
          <w:sz w:val="28"/>
          <w:szCs w:val="28"/>
          <w:highlight w:val="none"/>
        </w:rPr>
        <w:sectPr>
          <w:footerReference r:id="rId3" w:type="default"/>
          <w:pgSz w:w="11909" w:h="16834"/>
          <w:pgMar w:top="1418" w:right="1134" w:bottom="1418" w:left="1247" w:header="851" w:footer="851" w:gutter="0"/>
          <w:pgNumType w:start="1"/>
          <w:cols w:space="720" w:num="1"/>
          <w:docGrid w:type="lines" w:linePitch="312" w:charSpace="0"/>
        </w:sectPr>
      </w:pPr>
    </w:p>
    <w:p>
      <w:pPr>
        <w:adjustRightInd w:val="0"/>
        <w:snapToGrid w:val="0"/>
        <w:spacing w:line="360" w:lineRule="auto"/>
        <w:jc w:val="center"/>
        <w:rPr>
          <w:color w:val="auto"/>
          <w:highlight w:val="none"/>
        </w:rPr>
      </w:pPr>
      <w:bookmarkStart w:id="11" w:name="p2"/>
    </w:p>
    <w:p>
      <w:pPr>
        <w:pStyle w:val="5"/>
        <w:numPr>
          <w:ilvl w:val="0"/>
          <w:numId w:val="6"/>
        </w:numPr>
        <w:ind w:left="0" w:firstLine="562" w:firstLineChars="200"/>
        <w:rPr>
          <w:color w:val="auto"/>
          <w:highlight w:val="none"/>
        </w:rPr>
      </w:pPr>
      <w:bookmarkStart w:id="12" w:name="_Toc133502169"/>
      <w:bookmarkStart w:id="13" w:name="_Toc33446047"/>
      <w:bookmarkStart w:id="14" w:name="_Toc33448374"/>
      <w:bookmarkStart w:id="15" w:name="_Toc33448445"/>
      <w:bookmarkStart w:id="16" w:name="_Toc33445944"/>
      <w:bookmarkStart w:id="17" w:name="_Toc5637"/>
      <w:bookmarkStart w:id="18" w:name="_Toc33445869"/>
      <w:bookmarkStart w:id="19" w:name="_Toc464649534"/>
      <w:bookmarkStart w:id="20" w:name="_Toc33092157"/>
      <w:bookmarkStart w:id="21" w:name="一"/>
      <w:r>
        <w:rPr>
          <w:rFonts w:hint="eastAsia"/>
          <w:color w:val="auto"/>
          <w:highlight w:val="none"/>
        </w:rPr>
        <w:t>一般约定</w:t>
      </w:r>
      <w:bookmarkEnd w:id="12"/>
      <w:bookmarkEnd w:id="13"/>
      <w:bookmarkEnd w:id="14"/>
      <w:bookmarkEnd w:id="15"/>
      <w:bookmarkEnd w:id="16"/>
      <w:bookmarkEnd w:id="17"/>
      <w:bookmarkEnd w:id="18"/>
      <w:bookmarkEnd w:id="19"/>
      <w:bookmarkEnd w:id="20"/>
    </w:p>
    <w:bookmarkEnd w:id="21"/>
    <w:p>
      <w:pPr>
        <w:pStyle w:val="6"/>
        <w:numPr>
          <w:ilvl w:val="1"/>
          <w:numId w:val="6"/>
        </w:numPr>
        <w:ind w:left="0" w:firstLine="422" w:firstLineChars="200"/>
        <w:rPr>
          <w:color w:val="auto"/>
          <w:highlight w:val="none"/>
        </w:rPr>
      </w:pPr>
      <w:r>
        <w:rPr>
          <w:rFonts w:hint="eastAsia"/>
          <w:color w:val="auto"/>
          <w:highlight w:val="none"/>
        </w:rPr>
        <w:t>词语定义</w:t>
      </w:r>
    </w:p>
    <w:p>
      <w:pPr>
        <w:adjustRightInd w:val="0"/>
        <w:snapToGrid w:val="0"/>
        <w:spacing w:line="360" w:lineRule="auto"/>
        <w:ind w:firstLine="420" w:firstLineChars="200"/>
        <w:rPr>
          <w:color w:val="auto"/>
          <w:highlight w:val="none"/>
        </w:rPr>
      </w:pPr>
      <w:r>
        <w:rPr>
          <w:rFonts w:hint="eastAsia"/>
          <w:color w:val="auto"/>
          <w:highlight w:val="none"/>
        </w:rPr>
        <w:t>下列词语除专用条款另有约定外，应具有本条所赋予的定义：</w:t>
      </w:r>
    </w:p>
    <w:p>
      <w:pPr>
        <w:pStyle w:val="7"/>
        <w:numPr>
          <w:ilvl w:val="2"/>
          <w:numId w:val="6"/>
        </w:numPr>
        <w:ind w:left="0" w:firstLine="420" w:firstLineChars="200"/>
        <w:rPr>
          <w:color w:val="auto"/>
          <w:highlight w:val="none"/>
        </w:rPr>
      </w:pPr>
      <w:r>
        <w:rPr>
          <w:rFonts w:hint="eastAsia"/>
          <w:color w:val="auto"/>
          <w:highlight w:val="none"/>
        </w:rPr>
        <w:t>合同</w:t>
      </w:r>
      <w:r>
        <w:rPr>
          <w:rFonts w:hint="eastAsia"/>
          <w:color w:val="auto"/>
          <w:highlight w:val="none"/>
        </w:rPr>
        <w:tab/>
      </w:r>
    </w:p>
    <w:p>
      <w:pPr>
        <w:pStyle w:val="8"/>
        <w:ind w:left="0" w:firstLine="420" w:firstLineChars="200"/>
        <w:rPr>
          <w:color w:val="auto"/>
          <w:highlight w:val="none"/>
        </w:rPr>
      </w:pPr>
      <w:r>
        <w:rPr>
          <w:rFonts w:hint="eastAsia"/>
          <w:color w:val="auto"/>
          <w:highlight w:val="none"/>
        </w:rPr>
        <w:t>合同文件（或称合同或本合同）：指协议书、补充合同、通用条款、专用条款、合同附件、图纸、已标价工程量及单价清单、招标文件、投标文件以及经双方认可的其他有关书面文件。</w:t>
      </w:r>
    </w:p>
    <w:p>
      <w:pPr>
        <w:pStyle w:val="8"/>
        <w:ind w:left="0" w:firstLine="420" w:firstLineChars="200"/>
        <w:rPr>
          <w:color w:val="auto"/>
          <w:highlight w:val="none"/>
        </w:rPr>
      </w:pPr>
      <w:r>
        <w:rPr>
          <w:rFonts w:hint="eastAsia"/>
          <w:color w:val="auto"/>
          <w:highlight w:val="none"/>
        </w:rPr>
        <w:t>技术标准和要求：是指构成合同的、施工应当遵守的或指导施工的国家、行业或地方的技术标准和要求，以及合同约定的技术标准和要求。</w:t>
      </w:r>
    </w:p>
    <w:p>
      <w:pPr>
        <w:pStyle w:val="8"/>
        <w:ind w:left="0" w:firstLine="420" w:firstLineChars="200"/>
        <w:rPr>
          <w:color w:val="auto"/>
          <w:highlight w:val="none"/>
        </w:rPr>
      </w:pPr>
      <w:r>
        <w:rPr>
          <w:rFonts w:hint="eastAsia"/>
          <w:color w:val="auto"/>
          <w:highlight w:val="none"/>
        </w:rPr>
        <w:t>图纸：指包含在合同中的工程图纸，以及合同履行中由发包人按合同约定提供或批准的任何补充和修改的图纸，包括配套的说明。</w:t>
      </w:r>
    </w:p>
    <w:p>
      <w:pPr>
        <w:pStyle w:val="8"/>
        <w:ind w:left="0" w:firstLine="420" w:firstLineChars="200"/>
        <w:rPr>
          <w:color w:val="auto"/>
          <w:highlight w:val="none"/>
        </w:rPr>
      </w:pPr>
      <w:r>
        <w:rPr>
          <w:rFonts w:hint="eastAsia"/>
          <w:color w:val="auto"/>
          <w:highlight w:val="none"/>
        </w:rPr>
        <w:t>已标价工程量清单：指构成投标文件组成部分的由承包人按照规定的格式和要求填写并标明价格的工程量清单。</w:t>
      </w:r>
    </w:p>
    <w:p>
      <w:pPr>
        <w:pStyle w:val="8"/>
        <w:ind w:left="0" w:firstLine="420" w:firstLineChars="200"/>
        <w:rPr>
          <w:color w:val="auto"/>
          <w:highlight w:val="none"/>
        </w:rPr>
      </w:pPr>
      <w:r>
        <w:rPr>
          <w:rFonts w:hint="eastAsia"/>
          <w:color w:val="auto"/>
          <w:highlight w:val="none"/>
        </w:rPr>
        <w:t xml:space="preserve">中标通知书：指发包人通知承包人中标的函件。 </w:t>
      </w:r>
    </w:p>
    <w:p>
      <w:pPr>
        <w:pStyle w:val="8"/>
        <w:ind w:left="0" w:firstLine="420" w:firstLineChars="200"/>
        <w:rPr>
          <w:color w:val="auto"/>
          <w:highlight w:val="none"/>
        </w:rPr>
      </w:pPr>
      <w:r>
        <w:rPr>
          <w:rFonts w:hint="eastAsia"/>
          <w:color w:val="auto"/>
          <w:highlight w:val="none"/>
        </w:rPr>
        <w:t>投标函：指构成投标文件组成部分的由承包人填写并签署的投标函。</w:t>
      </w:r>
    </w:p>
    <w:p>
      <w:pPr>
        <w:pStyle w:val="8"/>
        <w:ind w:left="0" w:firstLine="420" w:firstLineChars="200"/>
        <w:rPr>
          <w:color w:val="auto"/>
          <w:highlight w:val="none"/>
        </w:rPr>
      </w:pPr>
      <w:r>
        <w:rPr>
          <w:rFonts w:hint="eastAsia"/>
          <w:color w:val="auto"/>
          <w:highlight w:val="none"/>
        </w:rPr>
        <w:t>投标函附录：指附在投标函后构成合同文件的投标函附录。</w:t>
      </w:r>
    </w:p>
    <w:p>
      <w:pPr>
        <w:pStyle w:val="8"/>
        <w:ind w:left="0" w:firstLine="420" w:firstLineChars="200"/>
        <w:rPr>
          <w:color w:val="auto"/>
          <w:highlight w:val="none"/>
        </w:rPr>
      </w:pPr>
      <w:r>
        <w:rPr>
          <w:rFonts w:hint="eastAsia"/>
          <w:color w:val="auto"/>
          <w:highlight w:val="none"/>
        </w:rPr>
        <w:t>签证：指合同双方就当事人在施工过程中涉及的责任事件所作的签认证明。</w:t>
      </w:r>
    </w:p>
    <w:p>
      <w:pPr>
        <w:pStyle w:val="8"/>
        <w:ind w:left="0" w:firstLine="420" w:firstLineChars="200"/>
        <w:rPr>
          <w:color w:val="auto"/>
          <w:highlight w:val="none"/>
        </w:rPr>
      </w:pPr>
      <w:r>
        <w:rPr>
          <w:rFonts w:hint="eastAsia"/>
          <w:color w:val="auto"/>
          <w:highlight w:val="none"/>
        </w:rPr>
        <w:t>变更：指图纸、技术标准和要求在设计、质量或数量上的改变包括工作的增减、变化、更换以及因发包人原因造成的施工条件的改变。</w:t>
      </w:r>
    </w:p>
    <w:p>
      <w:pPr>
        <w:pStyle w:val="7"/>
        <w:numPr>
          <w:ilvl w:val="2"/>
          <w:numId w:val="6"/>
        </w:numPr>
        <w:ind w:left="0" w:firstLine="420" w:firstLineChars="200"/>
        <w:rPr>
          <w:color w:val="auto"/>
          <w:highlight w:val="none"/>
        </w:rPr>
      </w:pPr>
      <w:r>
        <w:rPr>
          <w:rFonts w:hint="eastAsia"/>
          <w:color w:val="auto"/>
          <w:highlight w:val="none"/>
        </w:rPr>
        <w:t>合同当事人和人员</w:t>
      </w:r>
    </w:p>
    <w:p>
      <w:pPr>
        <w:pStyle w:val="8"/>
        <w:numPr>
          <w:ilvl w:val="0"/>
          <w:numId w:val="7"/>
        </w:numPr>
        <w:ind w:left="0" w:firstLine="420" w:firstLineChars="200"/>
        <w:rPr>
          <w:color w:val="auto"/>
          <w:highlight w:val="none"/>
        </w:rPr>
      </w:pPr>
      <w:r>
        <w:rPr>
          <w:rFonts w:hint="eastAsia"/>
          <w:color w:val="auto"/>
          <w:highlight w:val="none"/>
        </w:rPr>
        <w:t>合同当事人:指发包人和（或）承包人。</w:t>
      </w:r>
    </w:p>
    <w:p>
      <w:pPr>
        <w:pStyle w:val="8"/>
        <w:numPr>
          <w:ilvl w:val="0"/>
          <w:numId w:val="7"/>
        </w:numPr>
        <w:ind w:left="0" w:firstLine="420" w:firstLineChars="200"/>
        <w:rPr>
          <w:color w:val="auto"/>
          <w:highlight w:val="none"/>
        </w:rPr>
      </w:pPr>
      <w:r>
        <w:rPr>
          <w:rFonts w:hint="eastAsia"/>
          <w:color w:val="auto"/>
          <w:highlight w:val="none"/>
        </w:rPr>
        <w:t>发包人：指与承包人签订协议书的当事人。</w:t>
      </w:r>
    </w:p>
    <w:p>
      <w:pPr>
        <w:pStyle w:val="8"/>
        <w:numPr>
          <w:ilvl w:val="0"/>
          <w:numId w:val="7"/>
        </w:numPr>
        <w:ind w:left="0" w:firstLine="420" w:firstLineChars="200"/>
        <w:rPr>
          <w:color w:val="auto"/>
          <w:highlight w:val="none"/>
        </w:rPr>
      </w:pPr>
      <w:r>
        <w:rPr>
          <w:rFonts w:hint="eastAsia"/>
          <w:color w:val="auto"/>
          <w:highlight w:val="none"/>
        </w:rPr>
        <w:t>发包人代表：指在专用条款中指明的，由发包人任命并派驻施工场地，在发包人授权的权限内行使发包人权利的代表。</w:t>
      </w:r>
    </w:p>
    <w:p>
      <w:pPr>
        <w:pStyle w:val="8"/>
        <w:numPr>
          <w:ilvl w:val="0"/>
          <w:numId w:val="7"/>
        </w:numPr>
        <w:ind w:left="0" w:firstLine="420" w:firstLineChars="200"/>
        <w:rPr>
          <w:color w:val="auto"/>
          <w:highlight w:val="none"/>
        </w:rPr>
      </w:pPr>
      <w:r>
        <w:rPr>
          <w:rFonts w:hint="eastAsia"/>
          <w:color w:val="auto"/>
          <w:highlight w:val="none"/>
        </w:rPr>
        <w:t>承包人：指与发包人签订协议书的当事人。</w:t>
      </w:r>
    </w:p>
    <w:p>
      <w:pPr>
        <w:pStyle w:val="8"/>
        <w:numPr>
          <w:ilvl w:val="0"/>
          <w:numId w:val="7"/>
        </w:numPr>
        <w:ind w:left="0" w:firstLine="420" w:firstLineChars="200"/>
        <w:rPr>
          <w:color w:val="auto"/>
          <w:highlight w:val="none"/>
        </w:rPr>
      </w:pPr>
      <w:r>
        <w:rPr>
          <w:rFonts w:hint="eastAsia"/>
          <w:color w:val="auto"/>
          <w:highlight w:val="none"/>
        </w:rPr>
        <w:t>承包人项目经理：指在专用条款中指明的，承包人派驻施工场地的全权负责人。</w:t>
      </w:r>
    </w:p>
    <w:p>
      <w:pPr>
        <w:pStyle w:val="8"/>
        <w:numPr>
          <w:ilvl w:val="0"/>
          <w:numId w:val="7"/>
        </w:numPr>
        <w:ind w:left="0" w:firstLine="420" w:firstLineChars="200"/>
        <w:rPr>
          <w:color w:val="auto"/>
          <w:highlight w:val="none"/>
        </w:rPr>
      </w:pPr>
      <w:r>
        <w:rPr>
          <w:rFonts w:hint="eastAsia"/>
          <w:color w:val="auto"/>
          <w:highlight w:val="none"/>
        </w:rPr>
        <w:t>监理人：指受发包人委托对合同履行实施管理的法人或其他组织。</w:t>
      </w:r>
    </w:p>
    <w:p>
      <w:pPr>
        <w:pStyle w:val="8"/>
        <w:numPr>
          <w:ilvl w:val="0"/>
          <w:numId w:val="7"/>
        </w:numPr>
        <w:ind w:left="0" w:firstLine="420" w:firstLineChars="200"/>
        <w:rPr>
          <w:color w:val="auto"/>
          <w:highlight w:val="none"/>
        </w:rPr>
      </w:pPr>
      <w:r>
        <w:rPr>
          <w:rFonts w:hint="eastAsia"/>
          <w:color w:val="auto"/>
          <w:highlight w:val="none"/>
        </w:rPr>
        <w:t>总监理工程师（监理总监）：指经发包人同意后由监理人委派，代表监理人履行监理合同的现场负责人。</w:t>
      </w:r>
    </w:p>
    <w:p>
      <w:pPr>
        <w:pStyle w:val="8"/>
        <w:numPr>
          <w:ilvl w:val="0"/>
          <w:numId w:val="7"/>
        </w:numPr>
        <w:ind w:left="0" w:firstLine="420" w:firstLineChars="200"/>
        <w:rPr>
          <w:color w:val="auto"/>
          <w:highlight w:val="none"/>
        </w:rPr>
      </w:pPr>
      <w:r>
        <w:rPr>
          <w:rFonts w:hint="eastAsia"/>
          <w:color w:val="auto"/>
          <w:highlight w:val="none"/>
        </w:rPr>
        <w:t>总承包人：指在专用条款中指明的法人或其他组织。</w:t>
      </w:r>
    </w:p>
    <w:p>
      <w:pPr>
        <w:pStyle w:val="8"/>
        <w:numPr>
          <w:ilvl w:val="0"/>
          <w:numId w:val="7"/>
        </w:numPr>
        <w:ind w:left="0" w:firstLine="420" w:firstLineChars="200"/>
        <w:rPr>
          <w:color w:val="auto"/>
          <w:highlight w:val="none"/>
        </w:rPr>
      </w:pPr>
      <w:r>
        <w:rPr>
          <w:rFonts w:hint="eastAsia"/>
          <w:color w:val="auto"/>
          <w:highlight w:val="none"/>
        </w:rPr>
        <w:t>造价咨询人：指发包人委托的负责本工程造价控制和管理并取得相应工程造价咨询资质等级证书的组织，以及取得该组织资格的合法继承人。</w:t>
      </w:r>
    </w:p>
    <w:p>
      <w:pPr>
        <w:pStyle w:val="8"/>
        <w:numPr>
          <w:ilvl w:val="0"/>
          <w:numId w:val="7"/>
        </w:numPr>
        <w:ind w:left="0" w:firstLine="420" w:firstLineChars="200"/>
        <w:rPr>
          <w:color w:val="auto"/>
          <w:highlight w:val="none"/>
        </w:rPr>
      </w:pPr>
      <w:r>
        <w:rPr>
          <w:rFonts w:hint="eastAsia"/>
          <w:color w:val="auto"/>
          <w:highlight w:val="none"/>
        </w:rPr>
        <w:t>设计人：指与发包人签订针对本工程设计合同的法人或其他组织。</w:t>
      </w:r>
    </w:p>
    <w:p>
      <w:pPr>
        <w:pStyle w:val="8"/>
        <w:numPr>
          <w:ilvl w:val="0"/>
          <w:numId w:val="7"/>
        </w:numPr>
        <w:ind w:left="0" w:firstLine="420" w:firstLineChars="200"/>
        <w:rPr>
          <w:color w:val="auto"/>
          <w:highlight w:val="none"/>
        </w:rPr>
      </w:pPr>
      <w:r>
        <w:rPr>
          <w:rFonts w:hint="eastAsia"/>
          <w:color w:val="auto"/>
          <w:highlight w:val="none"/>
        </w:rPr>
        <w:t>顾问：指与发包人签订针对本工程施工顾问服务的法人或其他组织。</w:t>
      </w:r>
    </w:p>
    <w:p>
      <w:pPr>
        <w:pStyle w:val="7"/>
        <w:numPr>
          <w:ilvl w:val="2"/>
          <w:numId w:val="6"/>
        </w:numPr>
        <w:ind w:left="0" w:firstLine="420" w:firstLineChars="200"/>
        <w:rPr>
          <w:color w:val="auto"/>
          <w:highlight w:val="none"/>
        </w:rPr>
      </w:pPr>
      <w:r>
        <w:rPr>
          <w:rFonts w:hint="eastAsia"/>
          <w:color w:val="auto"/>
          <w:highlight w:val="none"/>
        </w:rPr>
        <w:t>工程和设备</w:t>
      </w:r>
    </w:p>
    <w:p>
      <w:pPr>
        <w:pStyle w:val="8"/>
        <w:numPr>
          <w:ilvl w:val="0"/>
          <w:numId w:val="8"/>
        </w:numPr>
        <w:ind w:left="0" w:firstLine="420" w:firstLineChars="200"/>
        <w:rPr>
          <w:color w:val="auto"/>
          <w:highlight w:val="none"/>
        </w:rPr>
      </w:pPr>
      <w:r>
        <w:rPr>
          <w:rFonts w:hint="eastAsia"/>
          <w:color w:val="auto"/>
          <w:highlight w:val="none"/>
        </w:rPr>
        <w:t>工程：指永久工程和（或）临时工程。</w:t>
      </w:r>
    </w:p>
    <w:p>
      <w:pPr>
        <w:pStyle w:val="8"/>
        <w:numPr>
          <w:ilvl w:val="0"/>
          <w:numId w:val="8"/>
        </w:numPr>
        <w:ind w:left="0" w:firstLine="420" w:firstLineChars="200"/>
        <w:rPr>
          <w:color w:val="auto"/>
          <w:highlight w:val="none"/>
        </w:rPr>
      </w:pPr>
      <w:r>
        <w:rPr>
          <w:rFonts w:hint="eastAsia"/>
          <w:color w:val="auto"/>
          <w:highlight w:val="none"/>
        </w:rPr>
        <w:t>永久工程：指按合同约定建造并移交给发包人的工程，包括工程设备。</w:t>
      </w:r>
    </w:p>
    <w:p>
      <w:pPr>
        <w:pStyle w:val="8"/>
        <w:numPr>
          <w:ilvl w:val="0"/>
          <w:numId w:val="8"/>
        </w:numPr>
        <w:ind w:left="0" w:firstLine="420" w:firstLineChars="200"/>
        <w:rPr>
          <w:color w:val="auto"/>
          <w:highlight w:val="none"/>
        </w:rPr>
      </w:pPr>
      <w:r>
        <w:rPr>
          <w:rFonts w:hint="eastAsia"/>
          <w:color w:val="auto"/>
          <w:highlight w:val="none"/>
        </w:rPr>
        <w:t>临时工程：指为完成合同约定的永久工程所修建的各类临时性工程，不包括施工设备。</w:t>
      </w:r>
    </w:p>
    <w:p>
      <w:pPr>
        <w:pStyle w:val="8"/>
        <w:numPr>
          <w:ilvl w:val="0"/>
          <w:numId w:val="8"/>
        </w:numPr>
        <w:ind w:left="0" w:firstLine="420" w:firstLineChars="200"/>
        <w:rPr>
          <w:color w:val="auto"/>
          <w:highlight w:val="none"/>
        </w:rPr>
      </w:pPr>
      <w:r>
        <w:rPr>
          <w:rFonts w:hint="eastAsia"/>
          <w:color w:val="auto"/>
          <w:highlight w:val="none"/>
        </w:rPr>
        <w:t>工程设备：指构成或计划构成永久工程一部分的机电设备、金属结构设备、仪器装置及其他类似的设备和装置。</w:t>
      </w:r>
    </w:p>
    <w:p>
      <w:pPr>
        <w:pStyle w:val="8"/>
        <w:numPr>
          <w:ilvl w:val="0"/>
          <w:numId w:val="8"/>
        </w:numPr>
        <w:ind w:left="0" w:firstLine="420" w:firstLineChars="200"/>
        <w:rPr>
          <w:color w:val="auto"/>
          <w:highlight w:val="none"/>
        </w:rPr>
      </w:pPr>
      <w:r>
        <w:rPr>
          <w:rFonts w:hint="eastAsia"/>
          <w:color w:val="auto"/>
          <w:highlight w:val="none"/>
        </w:rPr>
        <w:t>施工设备：指为完成合同约定的各项工作所需的设备、器具和其他物品，不包括临时工程和材料。</w:t>
      </w:r>
    </w:p>
    <w:p>
      <w:pPr>
        <w:pStyle w:val="8"/>
        <w:numPr>
          <w:ilvl w:val="0"/>
          <w:numId w:val="8"/>
        </w:numPr>
        <w:ind w:left="0" w:firstLine="420" w:firstLineChars="200"/>
        <w:rPr>
          <w:color w:val="auto"/>
          <w:highlight w:val="none"/>
        </w:rPr>
      </w:pPr>
      <w:r>
        <w:rPr>
          <w:rFonts w:hint="eastAsia"/>
          <w:color w:val="auto"/>
          <w:highlight w:val="none"/>
        </w:rPr>
        <w:t>临时设施：指为完成合同约定的各项工作所服务的临时性生产和生活设施。</w:t>
      </w:r>
    </w:p>
    <w:p>
      <w:pPr>
        <w:pStyle w:val="8"/>
        <w:numPr>
          <w:ilvl w:val="0"/>
          <w:numId w:val="8"/>
        </w:numPr>
        <w:ind w:left="0" w:firstLine="420" w:firstLineChars="200"/>
        <w:rPr>
          <w:color w:val="auto"/>
          <w:highlight w:val="none"/>
        </w:rPr>
      </w:pPr>
      <w:r>
        <w:rPr>
          <w:rFonts w:hint="eastAsia"/>
          <w:color w:val="auto"/>
          <w:highlight w:val="none"/>
        </w:rPr>
        <w:t>承包人设备：指承包人自带的施工设备。</w:t>
      </w:r>
    </w:p>
    <w:p>
      <w:pPr>
        <w:pStyle w:val="8"/>
        <w:numPr>
          <w:ilvl w:val="0"/>
          <w:numId w:val="8"/>
        </w:numPr>
        <w:ind w:left="0" w:firstLine="420" w:firstLineChars="200"/>
        <w:rPr>
          <w:color w:val="auto"/>
          <w:highlight w:val="none"/>
        </w:rPr>
      </w:pPr>
      <w:r>
        <w:rPr>
          <w:rFonts w:hint="eastAsia"/>
          <w:color w:val="auto"/>
          <w:highlight w:val="none"/>
        </w:rPr>
        <w:t>施工场地（或称工地、现场）：指用于合同工程施工的场所，以及在合同中指定作为施工场地组成部分的其他场所，包括永久占地和临时占地。</w:t>
      </w:r>
    </w:p>
    <w:p>
      <w:pPr>
        <w:pStyle w:val="8"/>
        <w:numPr>
          <w:ilvl w:val="0"/>
          <w:numId w:val="8"/>
        </w:numPr>
        <w:ind w:left="0" w:firstLine="420" w:firstLineChars="200"/>
        <w:rPr>
          <w:color w:val="auto"/>
          <w:highlight w:val="none"/>
        </w:rPr>
      </w:pPr>
      <w:r>
        <w:rPr>
          <w:rFonts w:hint="eastAsia"/>
          <w:color w:val="auto"/>
          <w:highlight w:val="none"/>
        </w:rPr>
        <w:t>永久占地：指为实施合同工程需永久占用的土地。</w:t>
      </w:r>
    </w:p>
    <w:p>
      <w:pPr>
        <w:pStyle w:val="8"/>
        <w:numPr>
          <w:ilvl w:val="0"/>
          <w:numId w:val="8"/>
        </w:numPr>
        <w:ind w:left="0" w:firstLine="420" w:firstLineChars="200"/>
        <w:rPr>
          <w:color w:val="auto"/>
          <w:highlight w:val="none"/>
        </w:rPr>
      </w:pPr>
      <w:r>
        <w:rPr>
          <w:rFonts w:hint="eastAsia"/>
          <w:color w:val="auto"/>
          <w:highlight w:val="none"/>
        </w:rPr>
        <w:t>临时占地：指为实施合同工程需临时占用的土地。</w:t>
      </w:r>
    </w:p>
    <w:p>
      <w:pPr>
        <w:pStyle w:val="7"/>
        <w:numPr>
          <w:ilvl w:val="2"/>
          <w:numId w:val="6"/>
        </w:numPr>
        <w:ind w:left="0" w:firstLine="420" w:firstLineChars="200"/>
        <w:rPr>
          <w:color w:val="auto"/>
          <w:highlight w:val="none"/>
        </w:rPr>
      </w:pPr>
      <w:r>
        <w:rPr>
          <w:rFonts w:hint="eastAsia"/>
          <w:color w:val="auto"/>
          <w:highlight w:val="none"/>
        </w:rPr>
        <w:t>日期</w:t>
      </w:r>
    </w:p>
    <w:p>
      <w:pPr>
        <w:pStyle w:val="8"/>
        <w:numPr>
          <w:ilvl w:val="0"/>
          <w:numId w:val="9"/>
        </w:numPr>
        <w:ind w:left="0" w:firstLine="420" w:firstLineChars="200"/>
        <w:rPr>
          <w:color w:val="auto"/>
          <w:highlight w:val="none"/>
        </w:rPr>
      </w:pPr>
      <w:r>
        <w:rPr>
          <w:rFonts w:hint="eastAsia"/>
          <w:color w:val="auto"/>
          <w:highlight w:val="none"/>
        </w:rPr>
        <w:t>开工通知：指经发包人书面同意由监理人发出的通知承包人开工的函件。</w:t>
      </w:r>
    </w:p>
    <w:p>
      <w:pPr>
        <w:pStyle w:val="8"/>
        <w:numPr>
          <w:ilvl w:val="0"/>
          <w:numId w:val="9"/>
        </w:numPr>
        <w:ind w:left="0" w:firstLine="420" w:firstLineChars="200"/>
        <w:rPr>
          <w:color w:val="auto"/>
          <w:highlight w:val="none"/>
        </w:rPr>
      </w:pPr>
      <w:r>
        <w:rPr>
          <w:rFonts w:hint="eastAsia"/>
          <w:color w:val="auto"/>
          <w:highlight w:val="none"/>
        </w:rPr>
        <w:t>开工日期：指经发包人书面同意由监理人发出的开工通知中写明的开工日期。</w:t>
      </w:r>
    </w:p>
    <w:p>
      <w:pPr>
        <w:pStyle w:val="8"/>
        <w:numPr>
          <w:ilvl w:val="0"/>
          <w:numId w:val="9"/>
        </w:numPr>
        <w:ind w:left="0" w:firstLine="420" w:firstLineChars="200"/>
        <w:rPr>
          <w:color w:val="auto"/>
          <w:highlight w:val="none"/>
        </w:rPr>
      </w:pPr>
      <w:r>
        <w:rPr>
          <w:rFonts w:hint="eastAsia"/>
          <w:color w:val="auto"/>
          <w:highlight w:val="none"/>
        </w:rPr>
        <w:t>工期：发包人和承包人在协议书中约定的，按总日历天数（包括法定节假日）计算的从开工日期至竣工日期的天数。</w:t>
      </w:r>
    </w:p>
    <w:p>
      <w:pPr>
        <w:pStyle w:val="8"/>
        <w:numPr>
          <w:ilvl w:val="0"/>
          <w:numId w:val="9"/>
        </w:numPr>
        <w:ind w:left="0" w:firstLine="420" w:firstLineChars="200"/>
        <w:rPr>
          <w:color w:val="auto"/>
          <w:highlight w:val="none"/>
        </w:rPr>
      </w:pPr>
      <w:r>
        <w:rPr>
          <w:rFonts w:hint="eastAsia"/>
          <w:color w:val="auto"/>
          <w:highlight w:val="none"/>
        </w:rPr>
        <w:t>竣工日期：指发包人和承包人在协议书中约定的本工程的竣工验收合格日期。</w:t>
      </w:r>
    </w:p>
    <w:p>
      <w:pPr>
        <w:pStyle w:val="8"/>
        <w:numPr>
          <w:ilvl w:val="0"/>
          <w:numId w:val="9"/>
        </w:numPr>
        <w:ind w:left="0" w:firstLine="420" w:firstLineChars="200"/>
        <w:rPr>
          <w:color w:val="auto"/>
          <w:highlight w:val="none"/>
        </w:rPr>
      </w:pPr>
      <w:r>
        <w:rPr>
          <w:rFonts w:hint="eastAsia"/>
          <w:color w:val="auto"/>
          <w:highlight w:val="none"/>
        </w:rPr>
        <w:t>项目整体竣工验收合格日期：指发包人和总承包人约定的项目整体竣工验收合格日期。</w:t>
      </w:r>
    </w:p>
    <w:p>
      <w:pPr>
        <w:pStyle w:val="8"/>
        <w:numPr>
          <w:ilvl w:val="0"/>
          <w:numId w:val="9"/>
        </w:numPr>
        <w:ind w:left="0" w:firstLine="420" w:firstLineChars="200"/>
        <w:rPr>
          <w:color w:val="auto"/>
          <w:highlight w:val="none"/>
        </w:rPr>
      </w:pPr>
      <w:r>
        <w:rPr>
          <w:rFonts w:hint="eastAsia"/>
          <w:color w:val="auto"/>
          <w:highlight w:val="none"/>
        </w:rPr>
        <w:t>天：除特别指明外，指日历天。合同中按天计算时间的，从开始之日计算，期限最后一天的截止时间为当天24:00。</w:t>
      </w:r>
    </w:p>
    <w:p>
      <w:pPr>
        <w:pStyle w:val="7"/>
        <w:numPr>
          <w:ilvl w:val="2"/>
          <w:numId w:val="6"/>
        </w:numPr>
        <w:ind w:left="0" w:firstLine="420" w:firstLineChars="200"/>
        <w:rPr>
          <w:color w:val="auto"/>
          <w:highlight w:val="none"/>
        </w:rPr>
      </w:pPr>
      <w:r>
        <w:rPr>
          <w:rFonts w:hint="eastAsia"/>
          <w:color w:val="auto"/>
          <w:highlight w:val="none"/>
        </w:rPr>
        <w:t>合同总价和费用</w:t>
      </w:r>
    </w:p>
    <w:p>
      <w:pPr>
        <w:pStyle w:val="8"/>
        <w:numPr>
          <w:ilvl w:val="0"/>
          <w:numId w:val="10"/>
        </w:numPr>
        <w:ind w:left="0" w:firstLine="420" w:firstLineChars="200"/>
        <w:rPr>
          <w:color w:val="auto"/>
          <w:highlight w:val="none"/>
        </w:rPr>
      </w:pPr>
      <w:r>
        <w:rPr>
          <w:rFonts w:hint="eastAsia"/>
          <w:color w:val="auto"/>
          <w:highlight w:val="none"/>
        </w:rPr>
        <w:t>合同总价：指签订合同时协议书中写明的暂定合同总价，已包括按已标价工程量清单所列工程量和综合单价所计价款、安全文明施工费、暂估价及暂列金额。该暂定合同总价可按合同约定调整。承包人须承担为履行此合同在中华人民共和国境内所必须缴纳的一切直接或间接税费及规费，包括但不限于增值税、企业所得税、个人所得税等以及国家及地方政府规定的其它一切税收及费用。此等税费及规费应已包括于合同价格和合同约定的各种款项内以及可能涉及的合同价格调整。</w:t>
      </w:r>
    </w:p>
    <w:p>
      <w:pPr>
        <w:pStyle w:val="8"/>
        <w:numPr>
          <w:ilvl w:val="0"/>
          <w:numId w:val="10"/>
        </w:numPr>
        <w:ind w:left="0" w:firstLine="420" w:firstLineChars="200"/>
        <w:rPr>
          <w:color w:val="auto"/>
          <w:highlight w:val="none"/>
        </w:rPr>
      </w:pPr>
      <w:r>
        <w:rPr>
          <w:rFonts w:hint="eastAsia"/>
          <w:color w:val="auto"/>
          <w:highlight w:val="none"/>
        </w:rPr>
        <w:t>费用：指为履行合同所发生的或将要发生的所有合理开支，包括管理费和应分摊的其他费用，但不包括利润。</w:t>
      </w:r>
    </w:p>
    <w:p>
      <w:pPr>
        <w:pStyle w:val="8"/>
        <w:numPr>
          <w:ilvl w:val="0"/>
          <w:numId w:val="10"/>
        </w:numPr>
        <w:ind w:left="0" w:firstLine="420" w:firstLineChars="200"/>
        <w:rPr>
          <w:color w:val="auto"/>
          <w:highlight w:val="none"/>
        </w:rPr>
      </w:pPr>
      <w:r>
        <w:rPr>
          <w:rFonts w:hint="eastAsia"/>
          <w:color w:val="auto"/>
          <w:highlight w:val="none"/>
        </w:rPr>
        <w:t>暂估价：指发包人在工程量清单中给定的用于支付发生但暂时不能确定价格的材料、设备以及专业工程、服务的金额。</w:t>
      </w:r>
    </w:p>
    <w:p>
      <w:pPr>
        <w:pStyle w:val="8"/>
        <w:numPr>
          <w:ilvl w:val="0"/>
          <w:numId w:val="10"/>
        </w:numPr>
        <w:ind w:left="0" w:firstLine="420" w:firstLineChars="200"/>
        <w:rPr>
          <w:color w:val="auto"/>
          <w:highlight w:val="none"/>
        </w:rPr>
      </w:pPr>
      <w:r>
        <w:rPr>
          <w:rFonts w:hint="eastAsia"/>
          <w:color w:val="auto"/>
          <w:highlight w:val="none"/>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pStyle w:val="8"/>
        <w:numPr>
          <w:ilvl w:val="0"/>
          <w:numId w:val="10"/>
        </w:numPr>
        <w:ind w:left="0" w:firstLine="420" w:firstLineChars="200"/>
        <w:rPr>
          <w:color w:val="auto"/>
          <w:highlight w:val="none"/>
        </w:rPr>
      </w:pPr>
      <w:r>
        <w:rPr>
          <w:rFonts w:hint="eastAsia"/>
          <w:color w:val="auto"/>
          <w:highlight w:val="none"/>
        </w:rPr>
        <w:t>计日工：指不能以实物量度的方法计价,而需以点工计算的零星工作。</w:t>
      </w:r>
    </w:p>
    <w:p>
      <w:pPr>
        <w:pStyle w:val="8"/>
        <w:numPr>
          <w:ilvl w:val="0"/>
          <w:numId w:val="10"/>
        </w:numPr>
        <w:ind w:left="0" w:firstLine="420" w:firstLineChars="200"/>
        <w:rPr>
          <w:color w:val="auto"/>
          <w:highlight w:val="none"/>
        </w:rPr>
      </w:pPr>
      <w:r>
        <w:rPr>
          <w:rFonts w:hint="eastAsia"/>
          <w:color w:val="auto"/>
          <w:highlight w:val="none"/>
        </w:rPr>
        <w:t>质量保证金：指发包人与承包人在合同中约定，从应付的工程款中预留，用以保证承包人在缺陷责任期内对建设工程出现的缺陷进行维修的资金。</w:t>
      </w:r>
    </w:p>
    <w:p>
      <w:pPr>
        <w:pStyle w:val="6"/>
        <w:numPr>
          <w:ilvl w:val="1"/>
          <w:numId w:val="6"/>
        </w:numPr>
        <w:ind w:left="0" w:firstLine="422" w:firstLineChars="200"/>
        <w:rPr>
          <w:color w:val="auto"/>
          <w:highlight w:val="none"/>
        </w:rPr>
      </w:pPr>
      <w:r>
        <w:rPr>
          <w:rFonts w:hint="eastAsia"/>
          <w:color w:val="auto"/>
          <w:highlight w:val="none"/>
        </w:rPr>
        <w:t>语言文字</w:t>
      </w:r>
    </w:p>
    <w:p>
      <w:pPr>
        <w:pStyle w:val="7"/>
        <w:numPr>
          <w:ilvl w:val="2"/>
          <w:numId w:val="6"/>
        </w:numPr>
        <w:ind w:left="0" w:firstLine="420" w:firstLineChars="200"/>
        <w:rPr>
          <w:color w:val="auto"/>
          <w:highlight w:val="none"/>
        </w:rPr>
      </w:pPr>
      <w:r>
        <w:rPr>
          <w:rFonts w:hint="eastAsia"/>
          <w:color w:val="auto"/>
          <w:highlight w:val="none"/>
        </w:rPr>
        <w:t>除专用术语外，合同使用的语言文字为中文，必要时专用术语应附有中文注释。若需要使用中文以外的语言文字，由合同当事人双方在专用条款内约定。</w:t>
      </w:r>
    </w:p>
    <w:p>
      <w:pPr>
        <w:pStyle w:val="6"/>
        <w:numPr>
          <w:ilvl w:val="1"/>
          <w:numId w:val="6"/>
        </w:numPr>
        <w:ind w:left="0" w:firstLine="422" w:firstLineChars="200"/>
        <w:rPr>
          <w:color w:val="auto"/>
          <w:highlight w:val="none"/>
        </w:rPr>
      </w:pPr>
      <w:r>
        <w:rPr>
          <w:rFonts w:hint="eastAsia"/>
          <w:color w:val="auto"/>
          <w:highlight w:val="none"/>
        </w:rPr>
        <w:t>适用法律、标准及规范</w:t>
      </w:r>
    </w:p>
    <w:p>
      <w:pPr>
        <w:pStyle w:val="7"/>
        <w:numPr>
          <w:ilvl w:val="2"/>
          <w:numId w:val="6"/>
        </w:numPr>
        <w:ind w:left="0" w:firstLine="420" w:firstLineChars="200"/>
        <w:rPr>
          <w:color w:val="auto"/>
          <w:highlight w:val="none"/>
        </w:rPr>
      </w:pPr>
      <w:r>
        <w:rPr>
          <w:rFonts w:hint="eastAsia"/>
          <w:color w:val="auto"/>
          <w:highlight w:val="none"/>
        </w:rPr>
        <w:t>本合同文件适用《中华人民共和国民法典》、《中华人民共和国建筑法》、《中华人民共和国安全生产法》、《建设工程质量管理条例》、《建设工程安全生产管理条例》等国家现行法律、法规和对本工程有管辖权的各级政府颁布的行政法规。需要特别明示的法律、行政法规由合同当事人双方在专用条款中约定。</w:t>
      </w:r>
    </w:p>
    <w:p>
      <w:pPr>
        <w:pStyle w:val="7"/>
        <w:numPr>
          <w:ilvl w:val="2"/>
          <w:numId w:val="6"/>
        </w:numPr>
        <w:ind w:left="0" w:firstLine="420" w:firstLineChars="200"/>
        <w:rPr>
          <w:color w:val="auto"/>
          <w:highlight w:val="none"/>
        </w:rPr>
      </w:pPr>
      <w:r>
        <w:rPr>
          <w:rFonts w:hint="eastAsia"/>
          <w:color w:val="auto"/>
          <w:highlight w:val="none"/>
        </w:rPr>
        <w:t>合同当事人双方在专用条款内约定适用国家标准、规范的名称；没有国家标准、规范但有行业标准、规范的，约定适用行业标准、规范的名称；没有国家和行业标准、规范的，约定适用工程所在地地方标准、规范的名称。发包人要求使用国外标准、规范的，应负责提供中文译本。</w:t>
      </w:r>
    </w:p>
    <w:p>
      <w:pPr>
        <w:pStyle w:val="7"/>
        <w:numPr>
          <w:ilvl w:val="2"/>
          <w:numId w:val="6"/>
        </w:numPr>
        <w:ind w:left="0" w:firstLine="420" w:firstLineChars="200"/>
        <w:rPr>
          <w:color w:val="auto"/>
          <w:highlight w:val="none"/>
        </w:rPr>
      </w:pPr>
      <w:r>
        <w:rPr>
          <w:rFonts w:hint="eastAsia"/>
          <w:color w:val="auto"/>
          <w:highlight w:val="none"/>
        </w:rPr>
        <w:t>除上述条款所列技术标准及规范外，按专用条款约定本工程采用的其他技术标准及规范由发包人向承包人提出。</w:t>
      </w:r>
    </w:p>
    <w:p>
      <w:pPr>
        <w:pStyle w:val="7"/>
        <w:numPr>
          <w:ilvl w:val="2"/>
          <w:numId w:val="6"/>
        </w:numPr>
        <w:ind w:left="0" w:firstLine="420" w:firstLineChars="200"/>
        <w:rPr>
          <w:color w:val="auto"/>
          <w:highlight w:val="none"/>
        </w:rPr>
      </w:pPr>
      <w:r>
        <w:rPr>
          <w:rFonts w:hint="eastAsia"/>
          <w:color w:val="auto"/>
          <w:highlight w:val="none"/>
        </w:rPr>
        <w:t>标准、规范之间如有差异，则承包人应无条件执行质量要求最高的标准，且发包人无需为此额外支付任何费用，除非发包人另有指示。</w:t>
      </w:r>
    </w:p>
    <w:p>
      <w:pPr>
        <w:pStyle w:val="6"/>
        <w:numPr>
          <w:ilvl w:val="1"/>
          <w:numId w:val="6"/>
        </w:numPr>
        <w:ind w:left="0" w:firstLine="422" w:firstLineChars="200"/>
        <w:rPr>
          <w:color w:val="auto"/>
          <w:highlight w:val="none"/>
        </w:rPr>
      </w:pPr>
      <w:r>
        <w:rPr>
          <w:rFonts w:hint="eastAsia"/>
          <w:color w:val="auto"/>
          <w:highlight w:val="none"/>
        </w:rPr>
        <w:t>合同文件的优先顺序</w:t>
      </w:r>
    </w:p>
    <w:p>
      <w:pPr>
        <w:pStyle w:val="7"/>
        <w:numPr>
          <w:ilvl w:val="2"/>
          <w:numId w:val="6"/>
        </w:numPr>
        <w:ind w:left="0" w:firstLine="420" w:firstLineChars="200"/>
        <w:rPr>
          <w:color w:val="auto"/>
          <w:highlight w:val="none"/>
        </w:rPr>
      </w:pPr>
      <w:r>
        <w:rPr>
          <w:rFonts w:hint="eastAsia"/>
          <w:color w:val="auto"/>
          <w:highlight w:val="none"/>
        </w:rPr>
        <w:t>下列文件均为本合同的组成部分，互为补充和解释。若合同文件中对本工程质量、进度、安全等要求有不一致的，承包人应在施工前向发包人提出，除发包人明确指示承包人适用何种规定外，以对承包人义务、责任要求高者严者为准；合同文件对合同范围或承包人工作范围有不一致的，以范围宽者为准；其他内容出现不一致的，除本合同另有明文规定外，按以下排列在前者为准，同一顺序文件出现不一致的，以时间在后者为准；但经发包人认定</w:t>
      </w:r>
      <w:r>
        <w:rPr>
          <w:rFonts w:hint="eastAsia"/>
          <w:bCs/>
          <w:color w:val="auto"/>
          <w:highlight w:val="none"/>
        </w:rPr>
        <w:t>承包人</w:t>
      </w:r>
      <w:r>
        <w:rPr>
          <w:rFonts w:hint="eastAsia"/>
          <w:color w:val="auto"/>
          <w:highlight w:val="none"/>
        </w:rPr>
        <w:t>的有关承诺比顺序在前的文件对发包人更有利的，就该承诺事项以该特定承诺为准。</w:t>
      </w:r>
    </w:p>
    <w:p>
      <w:pPr>
        <w:pStyle w:val="8"/>
        <w:numPr>
          <w:ilvl w:val="0"/>
          <w:numId w:val="11"/>
        </w:numPr>
        <w:ind w:left="0" w:firstLine="420" w:firstLineChars="200"/>
        <w:rPr>
          <w:color w:val="auto"/>
          <w:highlight w:val="none"/>
        </w:rPr>
      </w:pPr>
      <w:r>
        <w:rPr>
          <w:rFonts w:hint="eastAsia"/>
          <w:color w:val="auto"/>
          <w:highlight w:val="none"/>
        </w:rPr>
        <w:t>履行本合同的相关补充协议（含工程洽商记录、会议纪要、工程变更、现场签证等修正文件）</w:t>
      </w:r>
    </w:p>
    <w:p>
      <w:pPr>
        <w:pStyle w:val="8"/>
        <w:numPr>
          <w:ilvl w:val="0"/>
          <w:numId w:val="11"/>
        </w:numPr>
        <w:ind w:left="0" w:firstLine="420" w:firstLineChars="200"/>
        <w:rPr>
          <w:color w:val="auto"/>
          <w:highlight w:val="none"/>
        </w:rPr>
      </w:pPr>
      <w:r>
        <w:rPr>
          <w:rFonts w:hint="eastAsia"/>
          <w:color w:val="auto"/>
          <w:highlight w:val="none"/>
        </w:rPr>
        <w:t>协议书；</w:t>
      </w:r>
    </w:p>
    <w:p>
      <w:pPr>
        <w:pStyle w:val="8"/>
        <w:numPr>
          <w:ilvl w:val="0"/>
          <w:numId w:val="11"/>
        </w:numPr>
        <w:ind w:left="0" w:firstLine="420" w:firstLineChars="200"/>
        <w:rPr>
          <w:color w:val="auto"/>
          <w:highlight w:val="none"/>
        </w:rPr>
      </w:pPr>
      <w:r>
        <w:rPr>
          <w:rFonts w:hint="eastAsia"/>
          <w:color w:val="auto"/>
          <w:highlight w:val="none"/>
        </w:rPr>
        <w:t>中标通知书（适用招标工程）；</w:t>
      </w:r>
    </w:p>
    <w:p>
      <w:pPr>
        <w:pStyle w:val="8"/>
        <w:numPr>
          <w:ilvl w:val="0"/>
          <w:numId w:val="11"/>
        </w:numPr>
        <w:ind w:left="0" w:firstLine="420" w:firstLineChars="200"/>
        <w:rPr>
          <w:color w:val="auto"/>
          <w:highlight w:val="none"/>
        </w:rPr>
      </w:pPr>
      <w:r>
        <w:rPr>
          <w:rFonts w:hint="eastAsia"/>
          <w:color w:val="auto"/>
          <w:highlight w:val="none"/>
        </w:rPr>
        <w:t>专用条款；</w:t>
      </w:r>
    </w:p>
    <w:p>
      <w:pPr>
        <w:pStyle w:val="8"/>
        <w:numPr>
          <w:ilvl w:val="0"/>
          <w:numId w:val="11"/>
        </w:numPr>
        <w:ind w:left="0" w:firstLine="420" w:firstLineChars="200"/>
        <w:rPr>
          <w:color w:val="auto"/>
          <w:highlight w:val="none"/>
        </w:rPr>
      </w:pPr>
      <w:r>
        <w:rPr>
          <w:rFonts w:hint="eastAsia"/>
          <w:color w:val="auto"/>
          <w:highlight w:val="none"/>
        </w:rPr>
        <w:t>通用条款；</w:t>
      </w:r>
    </w:p>
    <w:p>
      <w:pPr>
        <w:pStyle w:val="8"/>
        <w:numPr>
          <w:ilvl w:val="0"/>
          <w:numId w:val="11"/>
        </w:numPr>
        <w:ind w:left="0" w:firstLine="420" w:firstLineChars="200"/>
        <w:rPr>
          <w:color w:val="auto"/>
          <w:highlight w:val="none"/>
        </w:rPr>
      </w:pPr>
      <w:r>
        <w:rPr>
          <w:rFonts w:hint="eastAsia"/>
          <w:color w:val="auto"/>
          <w:highlight w:val="none"/>
        </w:rPr>
        <w:t>承包人投标文件及其附件（含评标期间的澄清文件和补充资料）（适用于招标工程）；</w:t>
      </w:r>
    </w:p>
    <w:p>
      <w:pPr>
        <w:pStyle w:val="8"/>
        <w:numPr>
          <w:ilvl w:val="0"/>
          <w:numId w:val="11"/>
        </w:numPr>
        <w:ind w:left="0" w:firstLine="420" w:firstLineChars="200"/>
        <w:rPr>
          <w:color w:val="auto"/>
          <w:highlight w:val="none"/>
        </w:rPr>
      </w:pPr>
      <w:r>
        <w:rPr>
          <w:rFonts w:hint="eastAsia"/>
          <w:color w:val="auto"/>
          <w:highlight w:val="none"/>
        </w:rPr>
        <w:t>施工图预算书（适用于非招标工程）；</w:t>
      </w:r>
    </w:p>
    <w:p>
      <w:pPr>
        <w:pStyle w:val="8"/>
        <w:numPr>
          <w:ilvl w:val="0"/>
          <w:numId w:val="11"/>
        </w:numPr>
        <w:ind w:left="0" w:firstLine="420" w:firstLineChars="200"/>
        <w:rPr>
          <w:color w:val="auto"/>
          <w:highlight w:val="none"/>
        </w:rPr>
      </w:pPr>
      <w:r>
        <w:rPr>
          <w:rFonts w:hint="eastAsia"/>
          <w:color w:val="auto"/>
          <w:highlight w:val="none"/>
        </w:rPr>
        <w:t>招标文件（包括补充、修改、澄清的文件、招标图纸、答疑纪要、工程量清单及说明等）；</w:t>
      </w:r>
    </w:p>
    <w:p>
      <w:pPr>
        <w:pStyle w:val="8"/>
        <w:numPr>
          <w:ilvl w:val="0"/>
          <w:numId w:val="11"/>
        </w:numPr>
        <w:ind w:left="0" w:firstLine="420" w:firstLineChars="200"/>
        <w:rPr>
          <w:color w:val="auto"/>
          <w:highlight w:val="none"/>
        </w:rPr>
      </w:pPr>
      <w:r>
        <w:rPr>
          <w:rFonts w:hint="eastAsia"/>
          <w:color w:val="auto"/>
          <w:highlight w:val="none"/>
        </w:rPr>
        <w:t>标准、规范及有关技术文件；</w:t>
      </w:r>
    </w:p>
    <w:p>
      <w:pPr>
        <w:pStyle w:val="8"/>
        <w:numPr>
          <w:ilvl w:val="0"/>
          <w:numId w:val="11"/>
        </w:numPr>
        <w:ind w:left="0" w:firstLine="420" w:firstLineChars="200"/>
        <w:rPr>
          <w:color w:val="auto"/>
          <w:highlight w:val="none"/>
        </w:rPr>
      </w:pPr>
      <w:r>
        <w:rPr>
          <w:rFonts w:hint="eastAsia"/>
          <w:color w:val="auto"/>
          <w:highlight w:val="none"/>
        </w:rPr>
        <w:t>施工设计图纸和专用条款约定的其他文件。</w:t>
      </w:r>
    </w:p>
    <w:p>
      <w:pPr>
        <w:pStyle w:val="7"/>
        <w:numPr>
          <w:ilvl w:val="2"/>
          <w:numId w:val="6"/>
        </w:numPr>
        <w:ind w:left="0" w:firstLine="420" w:firstLineChars="200"/>
        <w:rPr>
          <w:color w:val="auto"/>
          <w:highlight w:val="none"/>
        </w:rPr>
      </w:pPr>
      <w:r>
        <w:rPr>
          <w:rFonts w:hint="eastAsia"/>
          <w:color w:val="auto"/>
          <w:highlight w:val="none"/>
        </w:rPr>
        <w:t>当本合同条款内容含糊不清或不相一致，并且不能依据合同约定的解释顺序阐述清楚时，以发包人的解释为准。</w:t>
      </w:r>
    </w:p>
    <w:p>
      <w:pPr>
        <w:pStyle w:val="6"/>
        <w:numPr>
          <w:ilvl w:val="1"/>
          <w:numId w:val="6"/>
        </w:numPr>
        <w:ind w:left="0" w:firstLine="422" w:firstLineChars="200"/>
        <w:rPr>
          <w:color w:val="auto"/>
          <w:highlight w:val="none"/>
        </w:rPr>
      </w:pPr>
      <w:r>
        <w:rPr>
          <w:rFonts w:hint="eastAsia"/>
          <w:color w:val="auto"/>
          <w:highlight w:val="none"/>
        </w:rPr>
        <w:t>协议书</w:t>
      </w:r>
    </w:p>
    <w:p>
      <w:pPr>
        <w:pStyle w:val="7"/>
        <w:numPr>
          <w:ilvl w:val="2"/>
          <w:numId w:val="6"/>
        </w:numPr>
        <w:ind w:left="0" w:firstLine="420" w:firstLineChars="200"/>
        <w:rPr>
          <w:color w:val="auto"/>
          <w:highlight w:val="none"/>
        </w:rPr>
      </w:pPr>
      <w:r>
        <w:rPr>
          <w:rFonts w:hint="eastAsia"/>
          <w:color w:val="auto"/>
          <w:highlight w:val="none"/>
        </w:rPr>
        <w:t>承包人按中标通知书规定的时间与发包人签订协议书。</w:t>
      </w:r>
    </w:p>
    <w:p>
      <w:pPr>
        <w:pStyle w:val="6"/>
        <w:numPr>
          <w:ilvl w:val="1"/>
          <w:numId w:val="6"/>
        </w:numPr>
        <w:ind w:left="0" w:firstLine="422" w:firstLineChars="200"/>
        <w:rPr>
          <w:color w:val="auto"/>
          <w:highlight w:val="none"/>
        </w:rPr>
      </w:pPr>
      <w:r>
        <w:rPr>
          <w:rFonts w:hint="eastAsia"/>
          <w:color w:val="auto"/>
          <w:highlight w:val="none"/>
        </w:rPr>
        <w:t>图纸和承包人文件</w:t>
      </w:r>
    </w:p>
    <w:p>
      <w:pPr>
        <w:pStyle w:val="7"/>
        <w:numPr>
          <w:ilvl w:val="2"/>
          <w:numId w:val="6"/>
        </w:numPr>
        <w:ind w:left="0" w:firstLine="420" w:firstLineChars="200"/>
        <w:rPr>
          <w:color w:val="auto"/>
          <w:highlight w:val="none"/>
        </w:rPr>
      </w:pPr>
      <w:r>
        <w:rPr>
          <w:rFonts w:hint="eastAsia"/>
          <w:color w:val="auto"/>
          <w:highlight w:val="none"/>
        </w:rPr>
        <w:t>发包人提供的图纸</w:t>
      </w:r>
    </w:p>
    <w:p>
      <w:pPr>
        <w:pStyle w:val="8"/>
        <w:numPr>
          <w:ilvl w:val="0"/>
          <w:numId w:val="12"/>
        </w:numPr>
        <w:ind w:left="0" w:firstLine="420" w:firstLineChars="200"/>
        <w:rPr>
          <w:color w:val="auto"/>
          <w:highlight w:val="none"/>
        </w:rPr>
      </w:pPr>
      <w:r>
        <w:rPr>
          <w:rFonts w:hint="eastAsia"/>
          <w:color w:val="auto"/>
          <w:highlight w:val="none"/>
        </w:rPr>
        <w:t>发包人提供的图纸和资料的数量与日期在专用条款中约定。承包人需要增加图纸套数的，发包人可代为复制，复制费用由承包人承担。</w:t>
      </w:r>
    </w:p>
    <w:p>
      <w:pPr>
        <w:pStyle w:val="8"/>
        <w:numPr>
          <w:ilvl w:val="0"/>
          <w:numId w:val="12"/>
        </w:numPr>
        <w:ind w:left="0" w:firstLine="420" w:firstLineChars="200"/>
        <w:rPr>
          <w:color w:val="auto"/>
          <w:highlight w:val="none"/>
        </w:rPr>
      </w:pPr>
      <w:r>
        <w:rPr>
          <w:rFonts w:hint="eastAsia"/>
          <w:color w:val="auto"/>
          <w:highlight w:val="none"/>
        </w:rPr>
        <w:t>施工设计图纸需要修改和（或）补充的，承包人应及时书面报告发包人。发包人收到书面报告确认需要修改和(或)补充后应及时通知设计人予以修改和(或)补充，并在合理的时间内按照合同当事人双方约定的时间和数量提供给承包人。承包人应按照发包人新提供的经设计人修改和(或)补充后的施工设计图纸施工。</w:t>
      </w:r>
    </w:p>
    <w:p>
      <w:pPr>
        <w:pStyle w:val="8"/>
        <w:numPr>
          <w:ilvl w:val="0"/>
          <w:numId w:val="12"/>
        </w:numPr>
        <w:ind w:left="0" w:firstLine="420" w:firstLineChars="200"/>
        <w:rPr>
          <w:color w:val="auto"/>
          <w:highlight w:val="none"/>
        </w:rPr>
      </w:pPr>
      <w:r>
        <w:rPr>
          <w:rFonts w:hint="eastAsia"/>
          <w:color w:val="auto"/>
          <w:highlight w:val="none"/>
        </w:rPr>
        <w:t>承包人应在收到图纸后审查相关图纸中可能存在的不符合法律规定、适用标准、施工规范的任何错误、冲突，并在</w:t>
      </w:r>
      <w:r>
        <w:rPr>
          <w:rFonts w:hint="eastAsia"/>
          <w:color w:val="auto"/>
          <w:highlight w:val="none"/>
          <w:u w:val="single"/>
        </w:rPr>
        <w:t>7天内</w:t>
      </w:r>
      <w:r>
        <w:rPr>
          <w:rFonts w:hint="eastAsia"/>
          <w:color w:val="auto"/>
          <w:highlight w:val="none"/>
        </w:rPr>
        <w:t>以书面方式报发包人及总监理工程师。对承包人已发现或作为有经验承包人应能发现的任何图纸的错漏碰缺，承包人未发现或发现后未及时报告发包人而造成工程造价增加或工期延误的，由承包人负责自费按经发包人和监理工程师、设计人同意的设计、方案、措施使之符合法律规定、适用标准、施工规范，若造成发包人损失的，承包人应赔偿发包人损失，且工期不予延长。</w:t>
      </w:r>
    </w:p>
    <w:p>
      <w:pPr>
        <w:pStyle w:val="8"/>
        <w:numPr>
          <w:ilvl w:val="0"/>
          <w:numId w:val="12"/>
        </w:numPr>
        <w:ind w:left="0" w:firstLine="420" w:firstLineChars="200"/>
        <w:rPr>
          <w:color w:val="auto"/>
          <w:highlight w:val="none"/>
        </w:rPr>
      </w:pPr>
      <w:r>
        <w:rPr>
          <w:rFonts w:hint="eastAsia"/>
          <w:color w:val="auto"/>
          <w:highlight w:val="none"/>
        </w:rPr>
        <w:t>承包人有责任审核与本工程有关所有图纸，并作出协调和相应的配合，不论该等图纸是发自发包人和其它与本工程有关的施工单位。</w:t>
      </w:r>
    </w:p>
    <w:p>
      <w:pPr>
        <w:pStyle w:val="8"/>
        <w:numPr>
          <w:ilvl w:val="0"/>
          <w:numId w:val="12"/>
        </w:numPr>
        <w:ind w:left="0" w:firstLine="420" w:firstLineChars="200"/>
        <w:rPr>
          <w:color w:val="auto"/>
          <w:highlight w:val="none"/>
        </w:rPr>
      </w:pPr>
      <w:r>
        <w:rPr>
          <w:rFonts w:hint="eastAsia"/>
          <w:color w:val="auto"/>
          <w:highlight w:val="none"/>
        </w:rPr>
        <w:t>承包人保证只将图纸用于本合同履行，不得将图纸的任何部分泄漏给其他无关的第三方。除非因履行合同而必需，否则不经发包人同意，承包人不得为第三方复印、使用、或传输上述文件。</w:t>
      </w:r>
    </w:p>
    <w:p>
      <w:pPr>
        <w:pStyle w:val="7"/>
        <w:numPr>
          <w:ilvl w:val="2"/>
          <w:numId w:val="6"/>
        </w:numPr>
        <w:ind w:left="0" w:firstLine="420" w:firstLineChars="200"/>
        <w:rPr>
          <w:color w:val="auto"/>
          <w:highlight w:val="none"/>
        </w:rPr>
      </w:pPr>
      <w:r>
        <w:rPr>
          <w:rFonts w:hint="eastAsia"/>
          <w:color w:val="auto"/>
          <w:highlight w:val="none"/>
        </w:rPr>
        <w:t>承包人提供的图纸</w:t>
      </w:r>
    </w:p>
    <w:p>
      <w:pPr>
        <w:pStyle w:val="8"/>
        <w:numPr>
          <w:ilvl w:val="0"/>
          <w:numId w:val="13"/>
        </w:numPr>
        <w:ind w:left="0" w:firstLine="420" w:firstLineChars="200"/>
        <w:rPr>
          <w:color w:val="auto"/>
          <w:highlight w:val="none"/>
        </w:rPr>
      </w:pPr>
      <w:r>
        <w:rPr>
          <w:rFonts w:hint="eastAsia"/>
          <w:color w:val="auto"/>
          <w:highlight w:val="none"/>
        </w:rPr>
        <w:t>需要承包人进行深化设计（或优化设计）的，承包人应具有相应的设计资质或委托具有相应设计资质的单位进行设计，并对工程设计的质量负责。承包人应当将相关图纸、规范、计算书及其他资料按专用条款约定的时间及数量报送监理人，并经监理人报发包人批准，并预留足够的时间供发包人、监理检查和批准。发包人的批准不免除承包人应承担的设计责任。深化设计的相关费用包含在合同价款之内，所需时间已包含在合同工期之内。</w:t>
      </w:r>
    </w:p>
    <w:p>
      <w:pPr>
        <w:pStyle w:val="8"/>
        <w:numPr>
          <w:ilvl w:val="0"/>
          <w:numId w:val="13"/>
        </w:numPr>
        <w:ind w:left="0" w:firstLine="420" w:firstLineChars="200"/>
        <w:rPr>
          <w:color w:val="auto"/>
          <w:highlight w:val="none"/>
        </w:rPr>
      </w:pPr>
      <w:r>
        <w:rPr>
          <w:rFonts w:hint="eastAsia"/>
          <w:color w:val="auto"/>
          <w:highlight w:val="none"/>
        </w:rPr>
        <w:t>承包人在本工程竣工后14天内，须按照专用条款约定的数量提交完整的竣工图给发包人使用，并配合竣工资料归档相关工作，此作为发包人向承包人支付工程结算价款的前提条件。</w:t>
      </w:r>
    </w:p>
    <w:p>
      <w:pPr>
        <w:pStyle w:val="7"/>
        <w:numPr>
          <w:ilvl w:val="2"/>
          <w:numId w:val="6"/>
        </w:numPr>
        <w:ind w:left="0" w:firstLine="420" w:firstLineChars="200"/>
        <w:rPr>
          <w:color w:val="auto"/>
          <w:highlight w:val="none"/>
        </w:rPr>
      </w:pPr>
      <w:r>
        <w:rPr>
          <w:rFonts w:hint="eastAsia"/>
          <w:color w:val="auto"/>
          <w:highlight w:val="none"/>
        </w:rPr>
        <w:t>发包人逾期提供图纸</w:t>
      </w:r>
    </w:p>
    <w:p>
      <w:pPr>
        <w:pStyle w:val="8"/>
        <w:numPr>
          <w:ilvl w:val="0"/>
          <w:numId w:val="14"/>
        </w:numPr>
        <w:ind w:left="0" w:firstLine="420" w:firstLineChars="200"/>
        <w:rPr>
          <w:color w:val="auto"/>
          <w:highlight w:val="none"/>
        </w:rPr>
      </w:pPr>
      <w:r>
        <w:rPr>
          <w:rFonts w:hint="eastAsia"/>
          <w:color w:val="auto"/>
          <w:highlight w:val="none"/>
        </w:rPr>
        <w:t>如果发包人未能按照本合同1.6.1项约定的图 纸供应计划向承包人提供合同图纸，并且承包人认为这种行为将要对工程进展造成影响，承包人应就此以书面形式通知发包人和监理人，同时说明所缺图纸的具体细节并解释该图纸的延误将如何影响工程的进展以及为避免这种影响该图纸必须提供的最晚时间。如果在该最晚时间以前，发包人仍然未能向承包人提供所需的图纸，则承包人应就此进一步通知发包人和监理人。如果确实影响了关键线路的施工，双方进行协商，但协商并不代表发包人有意延长工期。</w:t>
      </w:r>
    </w:p>
    <w:p>
      <w:pPr>
        <w:pStyle w:val="8"/>
        <w:numPr>
          <w:ilvl w:val="0"/>
          <w:numId w:val="14"/>
        </w:numPr>
        <w:ind w:left="0" w:firstLine="420" w:firstLineChars="200"/>
        <w:rPr>
          <w:color w:val="auto"/>
          <w:highlight w:val="none"/>
        </w:rPr>
      </w:pPr>
      <w:r>
        <w:rPr>
          <w:rFonts w:hint="eastAsia"/>
          <w:color w:val="auto"/>
          <w:highlight w:val="none"/>
        </w:rPr>
        <w:t>如果发包人之所以不能按约定提供图纸，是因为承包人未能提交合同约定应由其提交的图纸或提交的图纸有误，或是因为承包人的其他错误、拖延或其它违约所致，承包人无权要求发包人赔偿损失及顺延工期。</w:t>
      </w:r>
    </w:p>
    <w:p>
      <w:pPr>
        <w:pStyle w:val="8"/>
        <w:numPr>
          <w:ilvl w:val="0"/>
          <w:numId w:val="14"/>
        </w:numPr>
        <w:ind w:left="0" w:firstLine="420" w:firstLineChars="200"/>
        <w:rPr>
          <w:color w:val="auto"/>
          <w:highlight w:val="none"/>
        </w:rPr>
      </w:pPr>
      <w:r>
        <w:rPr>
          <w:rFonts w:hint="eastAsia"/>
          <w:color w:val="auto"/>
          <w:highlight w:val="none"/>
        </w:rPr>
        <w:t>如果承包人未能按本项上述约定通知发包人，承包人无权要求延长工期。</w:t>
      </w:r>
    </w:p>
    <w:p>
      <w:pPr>
        <w:pStyle w:val="7"/>
        <w:numPr>
          <w:ilvl w:val="2"/>
          <w:numId w:val="6"/>
        </w:numPr>
        <w:ind w:left="0" w:firstLine="420" w:firstLineChars="200"/>
        <w:rPr>
          <w:color w:val="auto"/>
          <w:highlight w:val="none"/>
        </w:rPr>
      </w:pPr>
      <w:r>
        <w:rPr>
          <w:rFonts w:hint="eastAsia"/>
          <w:color w:val="auto"/>
          <w:highlight w:val="none"/>
        </w:rPr>
        <w:t>图纸和承包人文件的保管</w:t>
      </w:r>
    </w:p>
    <w:p>
      <w:pPr>
        <w:pStyle w:val="8"/>
        <w:numPr>
          <w:ilvl w:val="0"/>
          <w:numId w:val="15"/>
        </w:numPr>
        <w:ind w:left="0" w:firstLine="420" w:firstLineChars="200"/>
        <w:rPr>
          <w:color w:val="auto"/>
          <w:highlight w:val="none"/>
        </w:rPr>
      </w:pPr>
      <w:r>
        <w:rPr>
          <w:rFonts w:hint="eastAsia"/>
          <w:color w:val="auto"/>
          <w:highlight w:val="none"/>
        </w:rPr>
        <w:t>承包人须把一整套的合同文件包括图纸、规范和已标价的工程量清单连同工程开始后签发的一切指示、附加图纸、补充工料规范、资料表等存放在工地，以便发包人、监理人及其工程顾问可随时查阅参考。不论本合同因何种原因中止或终止，承包人均应将前述所有资料无条件交付予发包人。此作为发包人进行工程结算并支付结算价款的前提条件。</w:t>
      </w:r>
    </w:p>
    <w:p>
      <w:pPr>
        <w:pStyle w:val="8"/>
        <w:numPr>
          <w:ilvl w:val="0"/>
          <w:numId w:val="15"/>
        </w:numPr>
        <w:ind w:left="0" w:firstLine="420" w:firstLineChars="200"/>
        <w:rPr>
          <w:color w:val="auto"/>
          <w:highlight w:val="none"/>
        </w:rPr>
      </w:pPr>
      <w:r>
        <w:rPr>
          <w:rFonts w:hint="eastAsia"/>
          <w:color w:val="auto"/>
          <w:highlight w:val="none"/>
        </w:rPr>
        <w:t>不论是发包人负责提供的还是承包人自费复印或自行深化设计（优化设计）的图纸，其知识产权都属于发包人所有，承包人不得将图纸用于任何本工程施工以外的目的。</w:t>
      </w:r>
    </w:p>
    <w:p>
      <w:pPr>
        <w:pStyle w:val="8"/>
        <w:numPr>
          <w:ilvl w:val="0"/>
          <w:numId w:val="15"/>
        </w:numPr>
        <w:ind w:left="0" w:firstLine="420" w:firstLineChars="200"/>
        <w:rPr>
          <w:color w:val="auto"/>
          <w:highlight w:val="none"/>
        </w:rPr>
      </w:pPr>
      <w:r>
        <w:rPr>
          <w:rFonts w:hint="eastAsia"/>
          <w:color w:val="auto"/>
          <w:highlight w:val="none"/>
        </w:rPr>
        <w:t>承包人作为一个具备相应专业资质及丰富施工经验的承包商，在查阅合同文件或在本工程实施过程中，发现有关的工程设计、工程技术要求、施工图纸或其他资料中有任何差错、遗漏或缺陷，应在施工前不少于三十（30）天前向发包人提出书面意见。如承包人作为一个专业的有经验的承包商本应发现上述差错、遗漏或缺陷而未发现，或已发现却隐瞒不报，并继续施工，因而导致的质量缺陷、返工修复、工期延误、以及发包人、其他承包人和其他人的经济损失与工期延误等责任，由此造成损失的50%由承包人承担。如承包人已在上述时间内向发包人提出发现差错、遗漏或缺陷的书面意见，而发包人仍决定按原要求施工的，承包人应予以执行。</w:t>
      </w:r>
    </w:p>
    <w:p>
      <w:pPr>
        <w:pStyle w:val="7"/>
        <w:numPr>
          <w:ilvl w:val="2"/>
          <w:numId w:val="6"/>
        </w:numPr>
        <w:ind w:left="0" w:firstLine="420" w:firstLineChars="200"/>
        <w:rPr>
          <w:color w:val="auto"/>
          <w:highlight w:val="none"/>
        </w:rPr>
      </w:pPr>
      <w:r>
        <w:rPr>
          <w:rFonts w:hint="eastAsia"/>
          <w:color w:val="auto"/>
          <w:highlight w:val="none"/>
        </w:rPr>
        <w:t xml:space="preserve">施工方案 </w:t>
      </w:r>
    </w:p>
    <w:p>
      <w:pPr>
        <w:spacing w:line="360" w:lineRule="auto"/>
        <w:ind w:firstLine="420" w:firstLineChars="200"/>
        <w:rPr>
          <w:color w:val="auto"/>
          <w:highlight w:val="none"/>
        </w:rPr>
      </w:pPr>
      <w:r>
        <w:rPr>
          <w:rFonts w:hint="eastAsia"/>
          <w:color w:val="auto"/>
          <w:highlight w:val="none"/>
        </w:rPr>
        <w:t>1)</w:t>
      </w:r>
      <w:r>
        <w:rPr>
          <w:rFonts w:hint="eastAsia"/>
          <w:color w:val="auto"/>
          <w:highlight w:val="none"/>
        </w:rPr>
        <w:tab/>
      </w:r>
      <w:r>
        <w:rPr>
          <w:rFonts w:hint="eastAsia"/>
          <w:color w:val="auto"/>
          <w:highlight w:val="none"/>
        </w:rPr>
        <w:t>施工方案由承包人负责编制，经监理人报发包人书面确认后方可实施。</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rPr>
        <w:tab/>
      </w:r>
      <w:r>
        <w:rPr>
          <w:rFonts w:hint="eastAsia"/>
          <w:color w:val="auto"/>
          <w:highlight w:val="none"/>
        </w:rPr>
        <w:t>符合以下特点的工作需要编制施工方案：危险性较大、工序较多、工作时间长、涉及多个单位配合、需要协调完成、其他需要报发包人的工作。</w:t>
      </w:r>
    </w:p>
    <w:p>
      <w:pPr>
        <w:spacing w:line="360" w:lineRule="auto"/>
        <w:ind w:firstLine="420" w:firstLineChars="200"/>
        <w:rPr>
          <w:color w:val="auto"/>
          <w:highlight w:val="none"/>
        </w:rPr>
      </w:pPr>
      <w:r>
        <w:rPr>
          <w:rFonts w:hint="eastAsia"/>
          <w:color w:val="auto"/>
          <w:highlight w:val="none"/>
        </w:rPr>
        <w:t>3）施工方案不作为本合同工程变更、价格调整、工程量增减、计价计量方式调整、技术标准调整等的依据。</w:t>
      </w:r>
    </w:p>
    <w:p>
      <w:pPr>
        <w:pStyle w:val="6"/>
        <w:numPr>
          <w:ilvl w:val="1"/>
          <w:numId w:val="6"/>
        </w:numPr>
        <w:ind w:left="0" w:firstLine="422" w:firstLineChars="200"/>
        <w:rPr>
          <w:color w:val="auto"/>
          <w:highlight w:val="none"/>
        </w:rPr>
      </w:pPr>
      <w:r>
        <w:rPr>
          <w:rFonts w:hint="eastAsia"/>
          <w:color w:val="auto"/>
          <w:highlight w:val="none"/>
        </w:rPr>
        <w:t>转让</w:t>
      </w:r>
    </w:p>
    <w:p>
      <w:pPr>
        <w:pStyle w:val="7"/>
        <w:numPr>
          <w:ilvl w:val="2"/>
          <w:numId w:val="6"/>
        </w:numPr>
        <w:ind w:left="0" w:firstLine="420" w:firstLineChars="200"/>
        <w:rPr>
          <w:color w:val="auto"/>
          <w:highlight w:val="none"/>
        </w:rPr>
      </w:pPr>
      <w:r>
        <w:rPr>
          <w:rFonts w:hint="eastAsia"/>
          <w:color w:val="auto"/>
          <w:highlight w:val="none"/>
        </w:rPr>
        <w:t>除合同另有约定外，未经发包人书面同意，承包人不得将合同权利全部或部分转让给第三人，也不得全部或部分转移合同义务。</w:t>
      </w:r>
    </w:p>
    <w:p>
      <w:pPr>
        <w:pStyle w:val="6"/>
        <w:numPr>
          <w:ilvl w:val="1"/>
          <w:numId w:val="6"/>
        </w:numPr>
        <w:ind w:left="0" w:firstLine="422" w:firstLineChars="200"/>
        <w:rPr>
          <w:color w:val="auto"/>
          <w:highlight w:val="none"/>
        </w:rPr>
      </w:pPr>
      <w:r>
        <w:rPr>
          <w:rFonts w:hint="eastAsia"/>
          <w:color w:val="auto"/>
          <w:highlight w:val="none"/>
        </w:rPr>
        <w:t>严禁贿赂</w:t>
      </w:r>
    </w:p>
    <w:p>
      <w:pPr>
        <w:pStyle w:val="7"/>
        <w:numPr>
          <w:ilvl w:val="2"/>
          <w:numId w:val="6"/>
        </w:numPr>
        <w:ind w:left="0" w:firstLine="420" w:firstLineChars="200"/>
        <w:rPr>
          <w:color w:val="auto"/>
          <w:highlight w:val="none"/>
        </w:rPr>
      </w:pPr>
      <w:r>
        <w:rPr>
          <w:rFonts w:hint="eastAsia"/>
          <w:color w:val="auto"/>
          <w:highlight w:val="none"/>
        </w:rPr>
        <w:t>合同当事人双方不得以贿赂或变相贿赂的方式，谋取不当利益或损害对方权益。因贿赂造成对方损失的，行为人（即违约方）应赔偿损失，并承担相应的法律责任，守约方有权解除合同。</w:t>
      </w:r>
    </w:p>
    <w:p>
      <w:pPr>
        <w:pStyle w:val="6"/>
        <w:numPr>
          <w:ilvl w:val="1"/>
          <w:numId w:val="6"/>
        </w:numPr>
        <w:ind w:left="0" w:firstLine="422" w:firstLineChars="200"/>
        <w:rPr>
          <w:color w:val="auto"/>
          <w:highlight w:val="none"/>
        </w:rPr>
      </w:pPr>
      <w:r>
        <w:rPr>
          <w:rFonts w:hint="eastAsia"/>
          <w:color w:val="auto"/>
          <w:highlight w:val="none"/>
        </w:rPr>
        <w:t>文物和地下障碍物</w:t>
      </w:r>
    </w:p>
    <w:p>
      <w:pPr>
        <w:pStyle w:val="7"/>
        <w:numPr>
          <w:ilvl w:val="2"/>
          <w:numId w:val="6"/>
        </w:numPr>
        <w:ind w:left="0" w:firstLine="420" w:firstLineChars="200"/>
        <w:rPr>
          <w:color w:val="auto"/>
          <w:highlight w:val="none"/>
        </w:rPr>
      </w:pPr>
      <w:r>
        <w:rPr>
          <w:rFonts w:hint="eastAsia"/>
          <w:color w:val="auto"/>
          <w:highlight w:val="none"/>
        </w:rPr>
        <w:t>在施工中发现古墓、古建筑遗址等文物及化石或其他有考古、地质研究等价值的物品时，承包人应立即保护好现场并于4小时内以书面形式通知发包人及监理人，发包人及监理人应于收到书面通知后24小时内报告当地文物管理部门，合同当事人双方按文物管理部门的要求采取妥善保护措施。由此导致工期延误超过7天的，发包人顺延延误的工期。如发现后隐瞒不报，致使文物遭受破坏，责任者依法承担相应责任。</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施工中发现影响施工的地下障碍物时，承包人应于8小时内以书面形式通知发包人，同时提出处置方案，发包人收到处置方案后24小时内予以认可或提出修正方案。发包人顺延延误的工期。所发现的地下障碍物有归属单位时，发包人应报请有关部门协同处置。</w:t>
      </w:r>
    </w:p>
    <w:p>
      <w:pPr>
        <w:pStyle w:val="6"/>
        <w:numPr>
          <w:ilvl w:val="1"/>
          <w:numId w:val="6"/>
        </w:numPr>
        <w:ind w:left="0" w:firstLine="422" w:firstLineChars="200"/>
        <w:rPr>
          <w:color w:val="auto"/>
          <w:highlight w:val="none"/>
        </w:rPr>
      </w:pPr>
      <w:r>
        <w:rPr>
          <w:rFonts w:hint="eastAsia"/>
          <w:color w:val="auto"/>
          <w:highlight w:val="none"/>
        </w:rPr>
        <w:t>专利技术及特殊工艺</w:t>
      </w:r>
    </w:p>
    <w:p>
      <w:pPr>
        <w:pStyle w:val="7"/>
        <w:numPr>
          <w:ilvl w:val="2"/>
          <w:numId w:val="6"/>
        </w:numPr>
        <w:ind w:left="0" w:firstLine="420" w:firstLineChars="200"/>
        <w:rPr>
          <w:color w:val="auto"/>
          <w:highlight w:val="none"/>
        </w:rPr>
      </w:pPr>
      <w:r>
        <w:rPr>
          <w:rFonts w:hint="eastAsia"/>
          <w:color w:val="auto"/>
          <w:highlight w:val="none"/>
        </w:rPr>
        <w:t>承包人提出使用专利技术或特殊工艺，应取得发包人认可，承包人负责办理申报手续并承担有关费用。</w:t>
      </w:r>
    </w:p>
    <w:p>
      <w:pPr>
        <w:pStyle w:val="7"/>
        <w:numPr>
          <w:ilvl w:val="2"/>
          <w:numId w:val="6"/>
        </w:numPr>
        <w:ind w:left="0" w:firstLine="420" w:firstLineChars="200"/>
        <w:rPr>
          <w:color w:val="auto"/>
          <w:highlight w:val="none"/>
        </w:rPr>
      </w:pPr>
      <w:r>
        <w:rPr>
          <w:rFonts w:hint="eastAsia"/>
          <w:color w:val="auto"/>
          <w:highlight w:val="none"/>
        </w:rPr>
        <w:t>承包人保证为本工程项目所提交的全部设计文件或产品、设备等未侵犯其第三方的知识产权。若承包人所提供的设计文件或产品、设备等涉嫌侵犯第三方知识产权或其他权利的，承包人必须自费负责妥善解决，使发包人免遭任何损失，免于承担任何责任；若发包人被牵连诉讼或仲裁，法院或仲裁机构裁判发包人败诉，或任何调解、和解协议规定发包人需要向第三方支付赔偿或费用及/或承担其他法律责任的，应由承包人全额赔偿及/或承担其他法律责任；承包人须在法院或仲裁机构生效法律文书或该等协议书指定的支付期限到期前，按该等文件指定的款项先行赔付给发包人。</w:t>
      </w:r>
    </w:p>
    <w:p>
      <w:pPr>
        <w:pStyle w:val="6"/>
        <w:numPr>
          <w:ilvl w:val="1"/>
          <w:numId w:val="6"/>
        </w:numPr>
        <w:ind w:left="0" w:firstLine="422" w:firstLineChars="200"/>
        <w:rPr>
          <w:color w:val="auto"/>
          <w:highlight w:val="none"/>
        </w:rPr>
      </w:pPr>
      <w:r>
        <w:rPr>
          <w:rFonts w:hint="eastAsia"/>
          <w:color w:val="auto"/>
          <w:highlight w:val="none"/>
        </w:rPr>
        <w:t>图纸和文件的保密</w:t>
      </w:r>
    </w:p>
    <w:p>
      <w:pPr>
        <w:pStyle w:val="7"/>
        <w:numPr>
          <w:ilvl w:val="2"/>
          <w:numId w:val="6"/>
        </w:numPr>
        <w:ind w:left="0" w:firstLine="420" w:firstLineChars="200"/>
        <w:rPr>
          <w:color w:val="auto"/>
          <w:highlight w:val="none"/>
        </w:rPr>
      </w:pPr>
      <w:r>
        <w:rPr>
          <w:rFonts w:hint="eastAsia"/>
          <w:color w:val="auto"/>
          <w:highlight w:val="none"/>
        </w:rPr>
        <w:t>用于本合同的图纸和文件，未经发包人同意，承包人不得为合同以外的目的泄露给他人或公开发表与引用。</w:t>
      </w:r>
    </w:p>
    <w:p>
      <w:pPr>
        <w:pStyle w:val="7"/>
        <w:numPr>
          <w:ilvl w:val="2"/>
          <w:numId w:val="6"/>
        </w:numPr>
        <w:ind w:left="0" w:firstLine="420" w:firstLineChars="200"/>
        <w:rPr>
          <w:color w:val="auto"/>
          <w:highlight w:val="none"/>
        </w:rPr>
      </w:pPr>
      <w:r>
        <w:rPr>
          <w:rFonts w:hint="eastAsia"/>
          <w:color w:val="auto"/>
          <w:highlight w:val="none"/>
        </w:rPr>
        <w:t>承包人提供的文件，未经承包人同意，发包人和监理人不得为合同以外的目的泄露给他人或公开发表与引用。</w:t>
      </w:r>
    </w:p>
    <w:p>
      <w:pPr>
        <w:pStyle w:val="7"/>
        <w:numPr>
          <w:ilvl w:val="2"/>
          <w:numId w:val="6"/>
        </w:numPr>
        <w:ind w:left="0" w:firstLine="420" w:firstLineChars="200"/>
        <w:rPr>
          <w:color w:val="auto"/>
          <w:highlight w:val="none"/>
        </w:rPr>
      </w:pPr>
      <w:r>
        <w:rPr>
          <w:rFonts w:hint="eastAsia"/>
          <w:color w:val="auto"/>
          <w:highlight w:val="none"/>
        </w:rPr>
        <w:t>承包人应履行保密义务，未经发包人同意，不得翻印、外传所有有关工程的资料包括文件、图纸、样板等，不得将本工程图纸及发包人提供的样板转给第三人。</w:t>
      </w:r>
    </w:p>
    <w:p>
      <w:pPr>
        <w:pStyle w:val="5"/>
        <w:numPr>
          <w:ilvl w:val="0"/>
          <w:numId w:val="6"/>
        </w:numPr>
        <w:ind w:left="0" w:firstLine="562" w:firstLineChars="200"/>
        <w:rPr>
          <w:color w:val="auto"/>
          <w:highlight w:val="none"/>
        </w:rPr>
      </w:pPr>
      <w:bookmarkStart w:id="22" w:name="_Toc33445945"/>
      <w:bookmarkStart w:id="23" w:name="_Toc33092158"/>
      <w:bookmarkStart w:id="24" w:name="_Toc33445870"/>
      <w:bookmarkStart w:id="25" w:name="_Toc133502170"/>
      <w:bookmarkStart w:id="26" w:name="_Toc33446048"/>
      <w:bookmarkStart w:id="27" w:name="_Toc464649535"/>
      <w:bookmarkStart w:id="28" w:name="_Toc33448446"/>
      <w:bookmarkStart w:id="29" w:name="_Toc33448375"/>
      <w:bookmarkStart w:id="30" w:name="_Toc6607"/>
      <w:r>
        <w:rPr>
          <w:rFonts w:hint="eastAsia"/>
          <w:color w:val="auto"/>
          <w:highlight w:val="none"/>
        </w:rPr>
        <w:t>发包人</w:t>
      </w:r>
      <w:bookmarkEnd w:id="22"/>
      <w:bookmarkEnd w:id="23"/>
      <w:bookmarkEnd w:id="24"/>
      <w:bookmarkEnd w:id="25"/>
      <w:bookmarkEnd w:id="26"/>
      <w:bookmarkEnd w:id="27"/>
      <w:bookmarkEnd w:id="28"/>
      <w:bookmarkEnd w:id="29"/>
      <w:bookmarkEnd w:id="30"/>
    </w:p>
    <w:p>
      <w:pPr>
        <w:pStyle w:val="6"/>
        <w:numPr>
          <w:ilvl w:val="1"/>
          <w:numId w:val="6"/>
        </w:numPr>
        <w:ind w:left="0" w:firstLine="422" w:firstLineChars="200"/>
        <w:rPr>
          <w:color w:val="auto"/>
          <w:highlight w:val="none"/>
        </w:rPr>
      </w:pPr>
      <w:r>
        <w:rPr>
          <w:rFonts w:hint="eastAsia"/>
          <w:color w:val="auto"/>
          <w:highlight w:val="none"/>
        </w:rPr>
        <w:t>发包人代表</w:t>
      </w:r>
    </w:p>
    <w:p>
      <w:pPr>
        <w:pStyle w:val="7"/>
        <w:numPr>
          <w:ilvl w:val="2"/>
          <w:numId w:val="6"/>
        </w:numPr>
        <w:ind w:left="0" w:firstLine="420" w:firstLineChars="200"/>
        <w:rPr>
          <w:color w:val="auto"/>
          <w:highlight w:val="none"/>
        </w:rPr>
      </w:pPr>
      <w:r>
        <w:rPr>
          <w:rFonts w:hint="eastAsia"/>
          <w:color w:val="auto"/>
          <w:highlight w:val="none"/>
        </w:rPr>
        <w:t>发包人应任命发包人代表负责处理施工现场与发包人有关的具体事宜。发包人代表在发包人授权的权限内的行为由发包人承担法律责任。发包人代表姓名、职务在专用条款内写明。</w:t>
      </w:r>
    </w:p>
    <w:p>
      <w:pPr>
        <w:pStyle w:val="7"/>
        <w:numPr>
          <w:ilvl w:val="2"/>
          <w:numId w:val="6"/>
        </w:numPr>
        <w:ind w:left="0" w:firstLine="420" w:firstLineChars="200"/>
        <w:rPr>
          <w:color w:val="auto"/>
          <w:highlight w:val="none"/>
        </w:rPr>
      </w:pPr>
      <w:r>
        <w:rPr>
          <w:rFonts w:hint="eastAsia"/>
          <w:color w:val="auto"/>
          <w:highlight w:val="none"/>
        </w:rPr>
        <w:t>发包人代表的权限为：负责工程建设的内外部关系协调，对工程建设进行监督管理。发包人赋予的其他权限在专用条款中写明。</w:t>
      </w:r>
    </w:p>
    <w:p>
      <w:pPr>
        <w:pStyle w:val="7"/>
        <w:numPr>
          <w:ilvl w:val="2"/>
          <w:numId w:val="6"/>
        </w:numPr>
        <w:ind w:left="0" w:firstLine="420" w:firstLineChars="200"/>
        <w:rPr>
          <w:color w:val="auto"/>
          <w:highlight w:val="none"/>
        </w:rPr>
      </w:pPr>
      <w:r>
        <w:rPr>
          <w:rFonts w:hint="eastAsia"/>
          <w:color w:val="auto"/>
          <w:highlight w:val="none"/>
        </w:rPr>
        <w:t>对本合同内容的任何修订、增加或减少项目、款项的支付、设计变更与工程签证等，需要另外获得发包人的授权，并加盖发包人公章方可生效。在任何情形下，发包人代表都没有修改本合同的权力。承包人确知，发包人代表签署的修改合同条款的任何文件均无效。</w:t>
      </w:r>
    </w:p>
    <w:p>
      <w:pPr>
        <w:pStyle w:val="7"/>
        <w:numPr>
          <w:ilvl w:val="2"/>
          <w:numId w:val="6"/>
        </w:numPr>
        <w:ind w:left="0" w:firstLine="420" w:firstLineChars="200"/>
        <w:rPr>
          <w:color w:val="auto"/>
          <w:highlight w:val="none"/>
        </w:rPr>
      </w:pPr>
      <w:r>
        <w:rPr>
          <w:rFonts w:hint="eastAsia"/>
          <w:color w:val="auto"/>
          <w:highlight w:val="none"/>
        </w:rPr>
        <w:t>如更换发包人代表，发包人应以书面形式通知承包人，后任继续行使合同文件约定的前任的职权，履行前任的义务。</w:t>
      </w:r>
    </w:p>
    <w:p>
      <w:pPr>
        <w:pStyle w:val="7"/>
        <w:numPr>
          <w:ilvl w:val="2"/>
          <w:numId w:val="6"/>
        </w:numPr>
        <w:ind w:left="0" w:firstLine="420" w:firstLineChars="200"/>
        <w:rPr>
          <w:color w:val="auto"/>
          <w:highlight w:val="none"/>
        </w:rPr>
      </w:pPr>
      <w:r>
        <w:rPr>
          <w:rFonts w:hint="eastAsia"/>
          <w:color w:val="auto"/>
          <w:highlight w:val="none"/>
        </w:rPr>
        <w:t>发包人代表可委派代表行使合同约定给自己的职权，并可在必要时撤回，委派和撤回均应以书面形式通知承包人。</w:t>
      </w:r>
    </w:p>
    <w:p>
      <w:pPr>
        <w:pStyle w:val="6"/>
        <w:numPr>
          <w:ilvl w:val="1"/>
          <w:numId w:val="6"/>
        </w:numPr>
        <w:ind w:left="0" w:firstLine="422" w:firstLineChars="200"/>
        <w:rPr>
          <w:color w:val="auto"/>
          <w:highlight w:val="none"/>
        </w:rPr>
      </w:pPr>
      <w:r>
        <w:rPr>
          <w:rFonts w:hint="eastAsia"/>
          <w:color w:val="auto"/>
          <w:highlight w:val="none"/>
        </w:rPr>
        <w:t>发包人一般权利义务</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为保证进度、质量、安全文明施工、销售配合等，发包人有权对所有相关事项发出指令进行变更或调整，包括但不限于：对设计图纸进行变更、调整工程量、调整施工进度、顺序和工艺、施工现场布置等。</w:t>
      </w:r>
    </w:p>
    <w:p>
      <w:pPr>
        <w:pStyle w:val="7"/>
        <w:numPr>
          <w:ilvl w:val="2"/>
          <w:numId w:val="6"/>
        </w:numPr>
        <w:ind w:left="0" w:firstLine="420" w:firstLineChars="200"/>
        <w:rPr>
          <w:color w:val="auto"/>
          <w:highlight w:val="none"/>
        </w:rPr>
      </w:pPr>
      <w:r>
        <w:rPr>
          <w:rFonts w:hint="eastAsia"/>
          <w:color w:val="auto"/>
          <w:highlight w:val="none"/>
        </w:rPr>
        <w:t>如承包人不按合同要求或发包人指令进行施工，发包人有权要求承包人暂停施工，待整改完毕后报发包人和监理验收通过后方可复工，由此造成的工期延误及经济损失由承包人负责。</w:t>
      </w:r>
    </w:p>
    <w:p>
      <w:pPr>
        <w:pStyle w:val="7"/>
        <w:numPr>
          <w:ilvl w:val="2"/>
          <w:numId w:val="6"/>
        </w:numPr>
        <w:ind w:left="0" w:firstLine="420" w:firstLineChars="200"/>
        <w:rPr>
          <w:color w:val="auto"/>
          <w:highlight w:val="none"/>
        </w:rPr>
      </w:pPr>
      <w:r>
        <w:rPr>
          <w:rFonts w:hint="eastAsia"/>
          <w:color w:val="auto"/>
          <w:highlight w:val="none"/>
        </w:rPr>
        <w:t>发包人有权直接或通过监理人随时向承包人发出任何为达到施工、竣工或保修目的的图纸或指令，承包人应遵照执行并受其约束。</w:t>
      </w:r>
    </w:p>
    <w:p>
      <w:pPr>
        <w:pStyle w:val="7"/>
        <w:numPr>
          <w:ilvl w:val="2"/>
          <w:numId w:val="6"/>
        </w:numPr>
        <w:ind w:left="0" w:firstLine="420" w:firstLineChars="200"/>
        <w:rPr>
          <w:color w:val="auto"/>
          <w:highlight w:val="none"/>
        </w:rPr>
      </w:pPr>
      <w:r>
        <w:rPr>
          <w:rFonts w:hint="eastAsia"/>
          <w:color w:val="auto"/>
          <w:highlight w:val="none"/>
        </w:rPr>
        <w:t>发包人完成以下工作：</w:t>
      </w:r>
    </w:p>
    <w:p>
      <w:pPr>
        <w:pStyle w:val="8"/>
        <w:numPr>
          <w:ilvl w:val="0"/>
          <w:numId w:val="16"/>
        </w:numPr>
        <w:ind w:left="0" w:firstLine="420" w:firstLineChars="200"/>
        <w:rPr>
          <w:color w:val="auto"/>
          <w:highlight w:val="none"/>
        </w:rPr>
      </w:pPr>
      <w:r>
        <w:rPr>
          <w:rFonts w:hint="eastAsia"/>
          <w:color w:val="auto"/>
          <w:highlight w:val="none"/>
        </w:rPr>
        <w:t xml:space="preserve">在开工前保证施工现场具备开工条件。若不能及时完成，在开工后继续负责解决以上事项及其遗留问题。 </w:t>
      </w:r>
    </w:p>
    <w:p>
      <w:pPr>
        <w:pStyle w:val="8"/>
        <w:numPr>
          <w:ilvl w:val="0"/>
          <w:numId w:val="16"/>
        </w:numPr>
        <w:ind w:left="0" w:firstLine="420" w:firstLineChars="200"/>
        <w:rPr>
          <w:color w:val="auto"/>
          <w:highlight w:val="none"/>
        </w:rPr>
      </w:pPr>
      <w:r>
        <w:rPr>
          <w:rFonts w:hint="eastAsia"/>
          <w:color w:val="auto"/>
          <w:highlight w:val="none"/>
        </w:rPr>
        <w:t>开工前，负责开通施工道路与城乡公共道路的开口，属于承包人的施工道路除外。</w:t>
      </w:r>
    </w:p>
    <w:p>
      <w:pPr>
        <w:pStyle w:val="8"/>
        <w:numPr>
          <w:ilvl w:val="0"/>
          <w:numId w:val="16"/>
        </w:numPr>
        <w:ind w:left="0" w:firstLine="420" w:firstLineChars="200"/>
        <w:rPr>
          <w:color w:val="auto"/>
          <w:highlight w:val="none"/>
        </w:rPr>
      </w:pPr>
      <w:r>
        <w:rPr>
          <w:rFonts w:hint="eastAsia"/>
          <w:color w:val="auto"/>
          <w:highlight w:val="none"/>
        </w:rPr>
        <w:t>完成本工程项目应由发包人完成的各种批准文件，协助承包人办理施工所需证件、批件和临时用地、停水、停电、中断道路交通等的申请批准手续（证明承包人自身资质的证件除外）。</w:t>
      </w:r>
    </w:p>
    <w:p>
      <w:pPr>
        <w:pStyle w:val="8"/>
        <w:numPr>
          <w:ilvl w:val="0"/>
          <w:numId w:val="16"/>
        </w:numPr>
        <w:ind w:left="0" w:firstLine="420" w:firstLineChars="200"/>
        <w:rPr>
          <w:color w:val="auto"/>
          <w:highlight w:val="none"/>
        </w:rPr>
      </w:pPr>
      <w:r>
        <w:rPr>
          <w:rFonts w:hint="eastAsia"/>
          <w:color w:val="auto"/>
          <w:highlight w:val="none"/>
        </w:rPr>
        <w:t>发包人负责向承包人提供具体需要保护项目，由承包人负责做好保护工作，如承包人在施工中发现问题应及时报告监理和发包人，由发包人、设计人出具解决方案，承包人实施 。</w:t>
      </w:r>
    </w:p>
    <w:p>
      <w:pPr>
        <w:pStyle w:val="8"/>
        <w:numPr>
          <w:ilvl w:val="0"/>
          <w:numId w:val="16"/>
        </w:numPr>
        <w:ind w:left="0" w:firstLine="420" w:firstLineChars="200"/>
        <w:rPr>
          <w:color w:val="auto"/>
          <w:highlight w:val="none"/>
        </w:rPr>
      </w:pPr>
      <w:r>
        <w:rPr>
          <w:rFonts w:hint="eastAsia"/>
          <w:color w:val="auto"/>
          <w:highlight w:val="none"/>
        </w:rPr>
        <w:t>在承包人应先行充分审图的前提下，发包人组织承包人和设计人进行图纸会审及设计交底。设计交底后，承包人应当继续审查相关图纸中可能存在的不符合法律规定、适用标准、施工规范的任何错误、冲突，并在专用条款约定的时间内以书面方式报发包人及监理人。</w:t>
      </w:r>
    </w:p>
    <w:p>
      <w:pPr>
        <w:pStyle w:val="8"/>
        <w:numPr>
          <w:ilvl w:val="0"/>
          <w:numId w:val="16"/>
        </w:numPr>
        <w:ind w:left="0" w:firstLine="420" w:firstLineChars="200"/>
        <w:rPr>
          <w:color w:val="auto"/>
          <w:highlight w:val="none"/>
        </w:rPr>
      </w:pPr>
      <w:r>
        <w:rPr>
          <w:rFonts w:hint="eastAsia"/>
          <w:color w:val="auto"/>
          <w:highlight w:val="none"/>
        </w:rPr>
        <w:t>及时支付合同款项。</w:t>
      </w:r>
    </w:p>
    <w:p>
      <w:pPr>
        <w:pStyle w:val="8"/>
        <w:numPr>
          <w:ilvl w:val="0"/>
          <w:numId w:val="16"/>
        </w:numPr>
        <w:ind w:left="0" w:firstLine="420" w:firstLineChars="200"/>
        <w:rPr>
          <w:color w:val="auto"/>
          <w:highlight w:val="none"/>
        </w:rPr>
      </w:pPr>
      <w:r>
        <w:rPr>
          <w:rFonts w:hint="eastAsia"/>
          <w:color w:val="auto"/>
          <w:highlight w:val="none"/>
        </w:rPr>
        <w:t>其他由发包人完成的工作在专用条款中约定。</w:t>
      </w:r>
    </w:p>
    <w:p>
      <w:pPr>
        <w:pStyle w:val="7"/>
        <w:numPr>
          <w:ilvl w:val="2"/>
          <w:numId w:val="6"/>
        </w:numPr>
        <w:ind w:left="0" w:firstLine="420" w:firstLineChars="200"/>
        <w:rPr>
          <w:color w:val="auto"/>
          <w:highlight w:val="none"/>
        </w:rPr>
      </w:pPr>
      <w:r>
        <w:rPr>
          <w:rFonts w:hint="eastAsia"/>
          <w:color w:val="auto"/>
          <w:highlight w:val="none"/>
        </w:rPr>
        <w:t>施工所需水、电、电讯线路说明：</w:t>
      </w:r>
    </w:p>
    <w:p>
      <w:pPr>
        <w:pStyle w:val="8"/>
        <w:numPr>
          <w:ilvl w:val="0"/>
          <w:numId w:val="17"/>
        </w:numPr>
        <w:ind w:left="0" w:firstLine="420" w:firstLineChars="200"/>
        <w:rPr>
          <w:color w:val="auto"/>
          <w:highlight w:val="none"/>
        </w:rPr>
      </w:pPr>
      <w:r>
        <w:rPr>
          <w:rFonts w:hint="eastAsia"/>
          <w:color w:val="auto"/>
          <w:highlight w:val="none"/>
        </w:rPr>
        <w:t>施工所需水、电 按专用条款中相关要求提供。</w:t>
      </w:r>
    </w:p>
    <w:p>
      <w:pPr>
        <w:pStyle w:val="8"/>
        <w:numPr>
          <w:ilvl w:val="0"/>
          <w:numId w:val="17"/>
        </w:numPr>
        <w:ind w:left="0" w:firstLine="420" w:firstLineChars="200"/>
        <w:rPr>
          <w:color w:val="auto"/>
          <w:highlight w:val="none"/>
        </w:rPr>
      </w:pPr>
      <w:r>
        <w:rPr>
          <w:rFonts w:hint="eastAsia"/>
          <w:color w:val="auto"/>
          <w:highlight w:val="none"/>
        </w:rPr>
        <w:t>通讯线路由承包人自行解决。</w:t>
      </w:r>
    </w:p>
    <w:p>
      <w:pPr>
        <w:pStyle w:val="7"/>
        <w:numPr>
          <w:ilvl w:val="2"/>
          <w:numId w:val="6"/>
        </w:numPr>
        <w:ind w:left="0" w:firstLine="420" w:firstLineChars="200"/>
        <w:rPr>
          <w:color w:val="auto"/>
          <w:highlight w:val="none"/>
        </w:rPr>
      </w:pPr>
      <w:r>
        <w:rPr>
          <w:rFonts w:hint="eastAsia"/>
          <w:color w:val="auto"/>
          <w:highlight w:val="none"/>
        </w:rPr>
        <w:t>发包人委托承包人办理的具体工作内容及费用由合同当事人双方在专用条款内进行约定。</w:t>
      </w:r>
    </w:p>
    <w:p>
      <w:pPr>
        <w:pStyle w:val="5"/>
        <w:numPr>
          <w:ilvl w:val="0"/>
          <w:numId w:val="6"/>
        </w:numPr>
        <w:ind w:left="0" w:firstLine="562" w:firstLineChars="200"/>
        <w:rPr>
          <w:color w:val="auto"/>
          <w:highlight w:val="none"/>
        </w:rPr>
      </w:pPr>
      <w:bookmarkStart w:id="31" w:name="_Toc33092159"/>
      <w:bookmarkStart w:id="32" w:name="_Toc33448376"/>
      <w:bookmarkStart w:id="33" w:name="_Toc33448447"/>
      <w:bookmarkStart w:id="34" w:name="_Toc133502171"/>
      <w:bookmarkStart w:id="35" w:name="_Toc33445871"/>
      <w:bookmarkStart w:id="36" w:name="_Toc464649536"/>
      <w:bookmarkStart w:id="37" w:name="_Toc33446049"/>
      <w:bookmarkStart w:id="38" w:name="_Toc33445946"/>
      <w:bookmarkStart w:id="39" w:name="_Toc17731"/>
      <w:r>
        <w:rPr>
          <w:rFonts w:hint="eastAsia"/>
          <w:color w:val="auto"/>
          <w:highlight w:val="none"/>
        </w:rPr>
        <w:t>监理人及造价咨询人</w:t>
      </w:r>
      <w:bookmarkEnd w:id="31"/>
      <w:bookmarkEnd w:id="32"/>
      <w:bookmarkEnd w:id="33"/>
      <w:bookmarkEnd w:id="34"/>
      <w:bookmarkEnd w:id="35"/>
      <w:bookmarkEnd w:id="36"/>
      <w:bookmarkEnd w:id="37"/>
      <w:bookmarkEnd w:id="38"/>
      <w:bookmarkEnd w:id="39"/>
    </w:p>
    <w:p>
      <w:pPr>
        <w:pStyle w:val="6"/>
        <w:numPr>
          <w:ilvl w:val="1"/>
          <w:numId w:val="6"/>
        </w:numPr>
        <w:ind w:left="0" w:firstLine="422" w:firstLineChars="200"/>
        <w:rPr>
          <w:color w:val="auto"/>
          <w:highlight w:val="none"/>
        </w:rPr>
      </w:pPr>
      <w:r>
        <w:rPr>
          <w:rFonts w:hint="eastAsia"/>
          <w:color w:val="auto"/>
          <w:highlight w:val="none"/>
        </w:rPr>
        <w:t>监理人</w:t>
      </w:r>
    </w:p>
    <w:p>
      <w:pPr>
        <w:pStyle w:val="7"/>
        <w:numPr>
          <w:ilvl w:val="2"/>
          <w:numId w:val="6"/>
        </w:numPr>
        <w:ind w:left="0" w:firstLine="420" w:firstLineChars="200"/>
        <w:rPr>
          <w:color w:val="auto"/>
          <w:highlight w:val="none"/>
        </w:rPr>
      </w:pPr>
      <w:r>
        <w:rPr>
          <w:rFonts w:hint="eastAsia"/>
          <w:color w:val="auto"/>
          <w:highlight w:val="none"/>
        </w:rPr>
        <w:t>发包人应在实施监理前将委托的监理人名称、监理内容及监理权限以书面形式通知承包人。</w:t>
      </w:r>
    </w:p>
    <w:p>
      <w:pPr>
        <w:pStyle w:val="7"/>
        <w:numPr>
          <w:ilvl w:val="2"/>
          <w:numId w:val="6"/>
        </w:numPr>
        <w:ind w:left="0" w:firstLine="420" w:firstLineChars="200"/>
        <w:rPr>
          <w:color w:val="auto"/>
          <w:highlight w:val="none"/>
        </w:rPr>
      </w:pPr>
      <w:r>
        <w:rPr>
          <w:rFonts w:hint="eastAsia"/>
          <w:color w:val="auto"/>
          <w:highlight w:val="none"/>
        </w:rPr>
        <w:t>总监理工程师姓名、职务在专用条款内写明。</w:t>
      </w:r>
    </w:p>
    <w:p>
      <w:pPr>
        <w:pStyle w:val="7"/>
        <w:numPr>
          <w:ilvl w:val="2"/>
          <w:numId w:val="6"/>
        </w:numPr>
        <w:ind w:left="0" w:firstLine="420" w:firstLineChars="200"/>
        <w:rPr>
          <w:color w:val="auto"/>
          <w:highlight w:val="none"/>
        </w:rPr>
      </w:pPr>
      <w:r>
        <w:rPr>
          <w:rFonts w:hint="eastAsia"/>
          <w:color w:val="auto"/>
          <w:highlight w:val="none"/>
        </w:rPr>
        <w:t>监理人按发包人与监理人签署的监理委托合同的约定行使职权。</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在任何情况下，监理人都无权修改本合同。监理人发出的通知、指示、同意、批准、证书、决定等，只要与本工程的合同暂定总价增减、工程变更、工程量增减、工程款数额、计量、计价、改变技术标准、改变施工方案、改变工期、工程停工复工、索赔、处理事故、建筑使用功能、分包的范围与内容、分包人和供应商的选择、承包人主要管理人员的更换或撤回、工程验收以及其他可能影响发包人利益的有关事项，均须经过发包人的书面审核批准并加盖发包人公章，方可成为发包人与承包人之间有约束力的文件，否则对发包人不具有约束力。监理人需要取得发包人批准才能行使的其他职权在专用条款里说明。</w:t>
      </w:r>
    </w:p>
    <w:p>
      <w:pPr>
        <w:pStyle w:val="7"/>
        <w:numPr>
          <w:ilvl w:val="2"/>
          <w:numId w:val="6"/>
        </w:numPr>
        <w:ind w:left="0" w:firstLine="420" w:firstLineChars="200"/>
        <w:rPr>
          <w:color w:val="auto"/>
          <w:highlight w:val="none"/>
        </w:rPr>
      </w:pPr>
      <w:r>
        <w:rPr>
          <w:rFonts w:hint="eastAsia"/>
          <w:color w:val="auto"/>
          <w:highlight w:val="none"/>
        </w:rPr>
        <w:t>本项目所有的监理人往来文件均需经总监理工程师或总监理工程师授权的代表签字、盖章后生效。</w:t>
      </w:r>
    </w:p>
    <w:p>
      <w:pPr>
        <w:pStyle w:val="7"/>
        <w:numPr>
          <w:ilvl w:val="2"/>
          <w:numId w:val="6"/>
        </w:numPr>
        <w:ind w:left="0" w:firstLine="420" w:firstLineChars="200"/>
        <w:rPr>
          <w:color w:val="auto"/>
          <w:highlight w:val="none"/>
        </w:rPr>
      </w:pPr>
      <w:r>
        <w:rPr>
          <w:rFonts w:hint="eastAsia"/>
          <w:color w:val="auto"/>
          <w:highlight w:val="none"/>
        </w:rPr>
        <w:t>合同履行中，发生影响合同当事人双方权利或义务的事件时，监理人应依据合同在其职权范围内客观公正地进行处理，一方对监理人的处理有异议时，按本合同关于争议的约定处理。</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除经发包人同意外，监理人无权解除本合同约定的承包人的任何权利与义务。</w:t>
      </w:r>
    </w:p>
    <w:p>
      <w:pPr>
        <w:pStyle w:val="7"/>
        <w:numPr>
          <w:ilvl w:val="2"/>
          <w:numId w:val="6"/>
        </w:numPr>
        <w:ind w:left="0" w:firstLine="420" w:firstLineChars="200"/>
        <w:rPr>
          <w:color w:val="auto"/>
          <w:highlight w:val="none"/>
        </w:rPr>
      </w:pPr>
      <w:r>
        <w:rPr>
          <w:rFonts w:hint="eastAsia"/>
          <w:color w:val="auto"/>
          <w:highlight w:val="none"/>
        </w:rPr>
        <w:t>如需更换总监理工程师，发包人应至少提前7天以书面形式通知承包人，后任继续行使合同文件约定的前任的职权，履行前任的义务。</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总监理工程师可委派代表行使合同约定给自己的职权，并可在必要时撤回，委派和撤回均应提前7天以书面形式通知承包人。</w:t>
      </w:r>
    </w:p>
    <w:p>
      <w:pPr>
        <w:pStyle w:val="6"/>
        <w:numPr>
          <w:ilvl w:val="1"/>
          <w:numId w:val="6"/>
        </w:numPr>
        <w:ind w:left="0" w:firstLine="422" w:firstLineChars="200"/>
        <w:rPr>
          <w:color w:val="auto"/>
          <w:highlight w:val="none"/>
        </w:rPr>
      </w:pPr>
      <w:r>
        <w:rPr>
          <w:rFonts w:hint="eastAsia"/>
          <w:color w:val="auto"/>
          <w:highlight w:val="none"/>
        </w:rPr>
        <w:t>监理人的指示</w:t>
      </w:r>
    </w:p>
    <w:p>
      <w:pPr>
        <w:pStyle w:val="7"/>
        <w:numPr>
          <w:ilvl w:val="2"/>
          <w:numId w:val="6"/>
        </w:numPr>
        <w:ind w:left="0" w:firstLine="420" w:firstLineChars="200"/>
        <w:rPr>
          <w:color w:val="auto"/>
          <w:highlight w:val="none"/>
        </w:rPr>
      </w:pPr>
      <w:r>
        <w:rPr>
          <w:rFonts w:hint="eastAsia"/>
          <w:color w:val="auto"/>
          <w:highlight w:val="none"/>
        </w:rPr>
        <w:t>监理人的指令以书面形式交给承包人。确有必要时，监理人可发出口头指令，并在48小时内给予书面确认，承包人对指令应予执行。监理人不能及时给予书面确认的，承包人应于发出口头指令后7天内提出书面确认要求，承包人未提出要求的，责任由承包人承担。</w:t>
      </w:r>
    </w:p>
    <w:p>
      <w:pPr>
        <w:pStyle w:val="7"/>
        <w:numPr>
          <w:ilvl w:val="2"/>
          <w:numId w:val="6"/>
        </w:numPr>
        <w:ind w:left="0" w:firstLine="420" w:firstLineChars="200"/>
        <w:rPr>
          <w:color w:val="auto"/>
          <w:highlight w:val="none"/>
        </w:rPr>
      </w:pPr>
      <w:r>
        <w:rPr>
          <w:rFonts w:hint="eastAsia"/>
          <w:color w:val="auto"/>
          <w:highlight w:val="none"/>
        </w:rPr>
        <w:t>监理人指令的签字、加盖公章的范围要求详见《监理合同》。</w:t>
      </w:r>
    </w:p>
    <w:p>
      <w:pPr>
        <w:pStyle w:val="7"/>
        <w:numPr>
          <w:ilvl w:val="2"/>
          <w:numId w:val="6"/>
        </w:numPr>
        <w:ind w:left="0" w:firstLine="420" w:firstLineChars="200"/>
        <w:rPr>
          <w:color w:val="auto"/>
          <w:highlight w:val="none"/>
        </w:rPr>
      </w:pPr>
      <w:r>
        <w:rPr>
          <w:rFonts w:hint="eastAsia"/>
          <w:color w:val="auto"/>
          <w:highlight w:val="none"/>
        </w:rPr>
        <w:t>承包人认为监理人指令不合理的，应在收到指令后24小时内向监理人提出修改指令的书面报告，监理人在收到承包人报告后24小时内做出修改指令或继续执行原指令的决定，并以书面形式通知承包人。紧急情况下，承包人虽有异议，但监理人决定仍继续执行的指令，承包人应予执行，承包人拒不执行指令的，属于承包人违约。</w:t>
      </w:r>
    </w:p>
    <w:p>
      <w:pPr>
        <w:pStyle w:val="7"/>
        <w:numPr>
          <w:ilvl w:val="2"/>
          <w:numId w:val="6"/>
        </w:numPr>
        <w:ind w:left="0" w:firstLine="420" w:firstLineChars="200"/>
        <w:rPr>
          <w:color w:val="auto"/>
          <w:highlight w:val="none"/>
        </w:rPr>
      </w:pPr>
      <w:r>
        <w:rPr>
          <w:rFonts w:hint="eastAsia"/>
          <w:color w:val="auto"/>
          <w:highlight w:val="none"/>
        </w:rPr>
        <w:t>监理人在履行和行使其职权时，其任何行为不免除承包人履行本合同约定的任何职责和义务。</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一般情况，发包人和监理人的决定应是互补的和一致的；除非合同文件中另有约定，在发包人和监理人的决定出现矛盾或不一致时，发包人有最终决定权。</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发包人同时享有直接发出任何工程指示、通知、同意、批准、证书、决定的权利，承包人需遵照执行。</w:t>
      </w:r>
    </w:p>
    <w:p>
      <w:pPr>
        <w:pStyle w:val="6"/>
        <w:numPr>
          <w:ilvl w:val="1"/>
          <w:numId w:val="6"/>
        </w:numPr>
        <w:ind w:left="0" w:firstLine="422" w:firstLineChars="200"/>
        <w:rPr>
          <w:color w:val="auto"/>
          <w:highlight w:val="none"/>
        </w:rPr>
      </w:pPr>
      <w:r>
        <w:rPr>
          <w:rFonts w:hint="eastAsia"/>
          <w:color w:val="auto"/>
          <w:highlight w:val="none"/>
        </w:rPr>
        <w:t>造价咨询人</w:t>
      </w:r>
    </w:p>
    <w:p>
      <w:pPr>
        <w:pStyle w:val="7"/>
        <w:numPr>
          <w:ilvl w:val="2"/>
          <w:numId w:val="6"/>
        </w:numPr>
        <w:ind w:left="0" w:firstLine="420" w:firstLineChars="200"/>
        <w:rPr>
          <w:color w:val="auto"/>
          <w:highlight w:val="none"/>
        </w:rPr>
      </w:pPr>
      <w:r>
        <w:rPr>
          <w:rFonts w:hint="eastAsia"/>
          <w:color w:val="auto"/>
          <w:highlight w:val="none"/>
        </w:rPr>
        <w:t>发包人有权将工程造价委托给造价咨询人管理。发包人委托造价咨询人的名称在专用条款中进行约定。</w:t>
      </w:r>
    </w:p>
    <w:p>
      <w:pPr>
        <w:pStyle w:val="7"/>
        <w:numPr>
          <w:ilvl w:val="2"/>
          <w:numId w:val="6"/>
        </w:numPr>
        <w:ind w:left="0" w:firstLine="420" w:firstLineChars="200"/>
        <w:rPr>
          <w:color w:val="auto"/>
          <w:highlight w:val="none"/>
        </w:rPr>
      </w:pPr>
      <w:r>
        <w:rPr>
          <w:rFonts w:hint="eastAsia"/>
          <w:color w:val="auto"/>
          <w:highlight w:val="none"/>
        </w:rPr>
        <w:t>发包人委托造价咨询人的职权在专用条款里说明。</w:t>
      </w:r>
    </w:p>
    <w:p>
      <w:pPr>
        <w:pStyle w:val="7"/>
        <w:numPr>
          <w:ilvl w:val="2"/>
          <w:numId w:val="6"/>
        </w:numPr>
        <w:ind w:left="0" w:firstLine="420" w:firstLineChars="200"/>
        <w:rPr>
          <w:color w:val="auto"/>
          <w:highlight w:val="none"/>
        </w:rPr>
      </w:pPr>
      <w:r>
        <w:rPr>
          <w:rFonts w:hint="eastAsia"/>
          <w:color w:val="auto"/>
          <w:highlight w:val="none"/>
        </w:rPr>
        <w:t>造价咨询人就造价确认、工程款结算等问题进行的沟通、协商、确认仅为协商过程性的行为。除非发包人法定代表人签字并加盖发包人公章，任何形式的文件以及任何人的行为都不能视为发包人对工程结算的认可。发包人有权委托第三方进行造价咨询及审核。</w:t>
      </w:r>
    </w:p>
    <w:p>
      <w:pPr>
        <w:pStyle w:val="5"/>
        <w:numPr>
          <w:ilvl w:val="0"/>
          <w:numId w:val="6"/>
        </w:numPr>
        <w:ind w:left="0" w:firstLine="562" w:firstLineChars="200"/>
        <w:rPr>
          <w:color w:val="auto"/>
          <w:highlight w:val="none"/>
        </w:rPr>
      </w:pPr>
      <w:r>
        <w:rPr>
          <w:rFonts w:hint="eastAsia"/>
          <w:color w:val="auto"/>
          <w:highlight w:val="none"/>
        </w:rPr>
        <w:tab/>
      </w:r>
      <w:bookmarkStart w:id="40" w:name="_Toc27552"/>
      <w:bookmarkStart w:id="41" w:name="_Toc133502172"/>
      <w:bookmarkStart w:id="42" w:name="_Toc33092160"/>
      <w:bookmarkStart w:id="43" w:name="_Toc33448377"/>
      <w:bookmarkStart w:id="44" w:name="_Toc33448448"/>
      <w:bookmarkStart w:id="45" w:name="_Toc33446050"/>
      <w:bookmarkStart w:id="46" w:name="_Toc464649537"/>
      <w:bookmarkStart w:id="47" w:name="_Toc33445872"/>
      <w:bookmarkStart w:id="48" w:name="_Toc33445947"/>
      <w:r>
        <w:rPr>
          <w:rFonts w:hint="eastAsia"/>
          <w:color w:val="auto"/>
          <w:highlight w:val="none"/>
        </w:rPr>
        <w:t>承包人</w:t>
      </w:r>
      <w:bookmarkEnd w:id="40"/>
      <w:bookmarkEnd w:id="41"/>
      <w:bookmarkEnd w:id="42"/>
      <w:bookmarkEnd w:id="43"/>
      <w:bookmarkEnd w:id="44"/>
      <w:bookmarkEnd w:id="45"/>
      <w:bookmarkEnd w:id="46"/>
      <w:bookmarkEnd w:id="47"/>
      <w:bookmarkEnd w:id="48"/>
    </w:p>
    <w:p>
      <w:pPr>
        <w:pStyle w:val="6"/>
        <w:numPr>
          <w:ilvl w:val="1"/>
          <w:numId w:val="6"/>
        </w:numPr>
        <w:ind w:left="0" w:firstLine="422" w:firstLineChars="200"/>
        <w:rPr>
          <w:color w:val="auto"/>
          <w:highlight w:val="none"/>
        </w:rPr>
      </w:pPr>
      <w:r>
        <w:rPr>
          <w:rFonts w:hint="eastAsia"/>
          <w:color w:val="auto"/>
          <w:highlight w:val="none"/>
        </w:rPr>
        <w:t>承包人的一般义务</w:t>
      </w:r>
    </w:p>
    <w:p>
      <w:pPr>
        <w:pStyle w:val="7"/>
        <w:numPr>
          <w:ilvl w:val="2"/>
          <w:numId w:val="6"/>
        </w:numPr>
        <w:ind w:left="0" w:firstLine="420" w:firstLineChars="200"/>
        <w:rPr>
          <w:color w:val="auto"/>
          <w:highlight w:val="none"/>
        </w:rPr>
      </w:pPr>
      <w:r>
        <w:rPr>
          <w:rFonts w:hint="eastAsia"/>
          <w:color w:val="auto"/>
          <w:highlight w:val="none"/>
        </w:rPr>
        <w:t>完成以下各项承包工作：</w:t>
      </w:r>
    </w:p>
    <w:p>
      <w:pPr>
        <w:pStyle w:val="8"/>
        <w:numPr>
          <w:ilvl w:val="0"/>
          <w:numId w:val="18"/>
        </w:numPr>
        <w:ind w:left="0" w:firstLine="420" w:firstLineChars="200"/>
        <w:rPr>
          <w:color w:val="auto"/>
          <w:highlight w:val="none"/>
        </w:rPr>
      </w:pPr>
      <w:r>
        <w:rPr>
          <w:rFonts w:hint="eastAsia"/>
          <w:color w:val="auto"/>
          <w:highlight w:val="none"/>
        </w:rPr>
        <w:t>承包人应按合同约定，实施、完成全部工程，并修补工程中的任何缺陷。除专用条款另有约定外，承包人应提供为完成合同工作所需的劳务、材料、施工设备、工程设备和其他物品，并按合同约定负责临时设施的设计、建造、运行、维护、管理和拆除。</w:t>
      </w:r>
    </w:p>
    <w:p>
      <w:pPr>
        <w:pStyle w:val="8"/>
        <w:numPr>
          <w:ilvl w:val="0"/>
          <w:numId w:val="18"/>
        </w:numPr>
        <w:ind w:left="0" w:firstLine="420" w:firstLineChars="200"/>
        <w:rPr>
          <w:color w:val="auto"/>
          <w:highlight w:val="none"/>
        </w:rPr>
      </w:pPr>
      <w:r>
        <w:rPr>
          <w:rFonts w:hint="eastAsia"/>
          <w:color w:val="auto"/>
          <w:highlight w:val="none"/>
        </w:rPr>
        <w:t>根据发包人委托，在其设计资质等级和业务允许的范围内，完成施工图设计或与工程配套的设计。</w:t>
      </w:r>
    </w:p>
    <w:p>
      <w:pPr>
        <w:pStyle w:val="7"/>
        <w:numPr>
          <w:ilvl w:val="2"/>
          <w:numId w:val="6"/>
        </w:numPr>
        <w:ind w:left="0" w:firstLine="420" w:firstLineChars="200"/>
        <w:rPr>
          <w:color w:val="auto"/>
          <w:highlight w:val="none"/>
        </w:rPr>
      </w:pPr>
      <w:r>
        <w:rPr>
          <w:rFonts w:hint="eastAsia"/>
          <w:color w:val="auto"/>
          <w:highlight w:val="none"/>
        </w:rPr>
        <w:t>对施工作业和施工方法的完备性负责</w:t>
      </w:r>
    </w:p>
    <w:p>
      <w:pPr>
        <w:pStyle w:val="8"/>
        <w:numPr>
          <w:ilvl w:val="0"/>
          <w:numId w:val="19"/>
        </w:numPr>
        <w:ind w:left="0" w:firstLine="420" w:firstLineChars="200"/>
        <w:rPr>
          <w:color w:val="auto"/>
          <w:highlight w:val="none"/>
        </w:rPr>
      </w:pPr>
      <w:r>
        <w:rPr>
          <w:rFonts w:hint="eastAsia"/>
          <w:color w:val="auto"/>
          <w:highlight w:val="none"/>
        </w:rPr>
        <w:t>承包人应按合同约定的工作内容和施工进度要求，编制施工组织设计和施工方案，并对所有施工作业和施工方法的完备性和安全可靠性负责。</w:t>
      </w:r>
    </w:p>
    <w:p>
      <w:pPr>
        <w:pStyle w:val="8"/>
        <w:numPr>
          <w:ilvl w:val="0"/>
          <w:numId w:val="19"/>
        </w:numPr>
        <w:ind w:left="0" w:firstLine="420" w:firstLineChars="200"/>
        <w:rPr>
          <w:color w:val="auto"/>
          <w:highlight w:val="none"/>
        </w:rPr>
      </w:pPr>
      <w:r>
        <w:rPr>
          <w:rFonts w:hint="eastAsia"/>
          <w:color w:val="auto"/>
          <w:highlight w:val="none"/>
        </w:rPr>
        <w:t>承包人负责办理各主管部门的相关报批报建验收手续，负责处理周边关系及相关政府部门关系，办理属于承包人承包范围内的有关证件。承包人负责办理施工临时占用道路手续并承担费用，发包人予以配合；使用临时路口、临时场地等保证金或押金由承包人负责缴纳，发包人配合提供有关资料。</w:t>
      </w:r>
    </w:p>
    <w:p>
      <w:pPr>
        <w:pStyle w:val="7"/>
        <w:numPr>
          <w:ilvl w:val="2"/>
          <w:numId w:val="6"/>
        </w:numPr>
        <w:ind w:left="0" w:firstLine="420" w:firstLineChars="200"/>
        <w:rPr>
          <w:color w:val="auto"/>
          <w:highlight w:val="none"/>
        </w:rPr>
      </w:pPr>
      <w:r>
        <w:rPr>
          <w:rFonts w:hint="eastAsia"/>
          <w:color w:val="auto"/>
          <w:highlight w:val="none"/>
        </w:rPr>
        <w:t>保证工程施工和人员的安全</w:t>
      </w:r>
    </w:p>
    <w:p>
      <w:pPr>
        <w:pStyle w:val="8"/>
        <w:numPr>
          <w:ilvl w:val="0"/>
          <w:numId w:val="20"/>
        </w:numPr>
        <w:ind w:left="0" w:firstLine="420" w:firstLineChars="200"/>
        <w:rPr>
          <w:color w:val="auto"/>
          <w:highlight w:val="none"/>
        </w:rPr>
      </w:pPr>
      <w:r>
        <w:rPr>
          <w:rFonts w:hint="eastAsia"/>
          <w:color w:val="auto"/>
          <w:highlight w:val="none"/>
        </w:rPr>
        <w:t>承包人应按本合同约定采取施工安全措施，确保本合同工程及其人员、材料、设备和设施的安全，防止因工程施工造成的人身伤害和财产损失。</w:t>
      </w:r>
    </w:p>
    <w:p>
      <w:pPr>
        <w:pStyle w:val="8"/>
        <w:numPr>
          <w:ilvl w:val="0"/>
          <w:numId w:val="20"/>
        </w:numPr>
        <w:ind w:left="0" w:firstLine="420" w:firstLineChars="200"/>
        <w:rPr>
          <w:color w:val="auto"/>
          <w:highlight w:val="none"/>
        </w:rPr>
      </w:pPr>
      <w:r>
        <w:rPr>
          <w:rFonts w:hint="eastAsia"/>
          <w:color w:val="auto"/>
          <w:highlight w:val="none"/>
        </w:rPr>
        <w:t>承包人应对所有工地作业和施工方法的适当性、可靠性及安全性负全责。在施工期间由于承包人原因而发生施工质量、安全事故，其责任及费用均由承包人负责并报告发包人及有关部门。</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负责施工场地及其周边环境与生态的保护工作</w:t>
      </w:r>
    </w:p>
    <w:p>
      <w:pPr>
        <w:pStyle w:val="8"/>
        <w:numPr>
          <w:ilvl w:val="0"/>
          <w:numId w:val="21"/>
        </w:numPr>
        <w:ind w:left="0" w:firstLine="420" w:firstLineChars="200"/>
        <w:rPr>
          <w:color w:val="auto"/>
          <w:highlight w:val="none"/>
        </w:rPr>
      </w:pPr>
      <w:r>
        <w:rPr>
          <w:rFonts w:hint="eastAsia"/>
          <w:color w:val="auto"/>
          <w:highlight w:val="none"/>
        </w:rPr>
        <w:t>承包人应按照合同约定负责施工场地及其周边环境与生态的保护工作。</w:t>
      </w:r>
    </w:p>
    <w:p>
      <w:pPr>
        <w:pStyle w:val="8"/>
        <w:numPr>
          <w:ilvl w:val="0"/>
          <w:numId w:val="21"/>
        </w:numPr>
        <w:ind w:left="0" w:firstLine="420" w:firstLineChars="200"/>
        <w:rPr>
          <w:color w:val="auto"/>
          <w:highlight w:val="none"/>
        </w:rPr>
      </w:pPr>
      <w:r>
        <w:rPr>
          <w:rFonts w:hint="eastAsia"/>
          <w:color w:val="auto"/>
          <w:highlight w:val="none"/>
        </w:rPr>
        <w:t>承包人应遵守政府有关主管部门对施工场地交通、施工噪音以及环境保护、环境卫生和安全生产等的管理规定，按规定办理有关手续，并以书面形式通知发包人，发生的费用由承包人承担。</w:t>
      </w:r>
    </w:p>
    <w:p>
      <w:pPr>
        <w:pStyle w:val="8"/>
        <w:numPr>
          <w:ilvl w:val="0"/>
          <w:numId w:val="21"/>
        </w:numPr>
        <w:ind w:left="0" w:firstLine="420" w:firstLineChars="200"/>
        <w:rPr>
          <w:color w:val="auto"/>
          <w:highlight w:val="none"/>
        </w:rPr>
      </w:pPr>
      <w:r>
        <w:rPr>
          <w:rFonts w:hint="eastAsia"/>
          <w:color w:val="auto"/>
          <w:highlight w:val="none"/>
        </w:rPr>
        <w:tab/>
      </w:r>
      <w:r>
        <w:rPr>
          <w:rFonts w:hint="eastAsia"/>
          <w:color w:val="auto"/>
          <w:highlight w:val="none"/>
        </w:rPr>
        <w:t>承包人应保证施工场地清洁符合环境卫生管理的有关要求，做到工完场清，即建筑垃圾须及时清运出场，否则发包人有权另行委托他人清理，发生的费用按在专用条款中约定处理。</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避免施工对公众与他人的利益造成损害</w:t>
      </w:r>
    </w:p>
    <w:p>
      <w:pPr>
        <w:pStyle w:val="8"/>
        <w:numPr>
          <w:ilvl w:val="0"/>
          <w:numId w:val="22"/>
        </w:numPr>
        <w:ind w:left="0" w:firstLine="420" w:firstLineChars="200"/>
        <w:rPr>
          <w:color w:val="auto"/>
          <w:highlight w:val="none"/>
        </w:rPr>
      </w:pPr>
      <w:r>
        <w:rPr>
          <w:rFonts w:hint="eastAsia"/>
          <w:color w:val="auto"/>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8"/>
        <w:numPr>
          <w:ilvl w:val="0"/>
          <w:numId w:val="22"/>
        </w:numPr>
        <w:ind w:left="0" w:firstLine="420" w:firstLineChars="200"/>
        <w:rPr>
          <w:color w:val="auto"/>
          <w:highlight w:val="none"/>
        </w:rPr>
      </w:pPr>
      <w:r>
        <w:rPr>
          <w:rFonts w:hint="eastAsia"/>
          <w:color w:val="auto"/>
          <w:highlight w:val="none"/>
        </w:rPr>
        <w:t>因实施本工程而应向第三方支付的扰民费、噪音费、夜间施工费等由承包人负责，已经包含在承包人的合同暂定总价内。</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为他人提供方便</w:t>
      </w:r>
    </w:p>
    <w:p>
      <w:pPr>
        <w:pStyle w:val="8"/>
        <w:numPr>
          <w:ilvl w:val="0"/>
          <w:numId w:val="23"/>
        </w:numPr>
        <w:ind w:left="0" w:firstLine="420" w:firstLineChars="200"/>
        <w:rPr>
          <w:color w:val="auto"/>
          <w:highlight w:val="none"/>
        </w:rPr>
      </w:pPr>
      <w:r>
        <w:rPr>
          <w:rFonts w:hint="eastAsia"/>
          <w:color w:val="auto"/>
          <w:highlight w:val="none"/>
        </w:rPr>
        <w:t>承包人应按监理人的指示为他人在施工场地或附近实施与工程有关的其他各项工作提供可能的条件。</w:t>
      </w:r>
    </w:p>
    <w:p>
      <w:pPr>
        <w:pStyle w:val="8"/>
        <w:numPr>
          <w:ilvl w:val="0"/>
          <w:numId w:val="23"/>
        </w:numPr>
        <w:ind w:left="0" w:firstLine="420" w:firstLineChars="200"/>
        <w:rPr>
          <w:color w:val="auto"/>
          <w:highlight w:val="none"/>
        </w:rPr>
      </w:pPr>
      <w:r>
        <w:rPr>
          <w:rFonts w:hint="eastAsia"/>
          <w:color w:val="auto"/>
          <w:highlight w:val="none"/>
        </w:rPr>
        <w:t>承包人有责任在工程隐蔽验收、中间验收、竣工验收、档案验收过程中为发包人提供与政府相关部门的沟通与协调的服务，并协助发包人办理相应手续。</w:t>
      </w:r>
    </w:p>
    <w:p>
      <w:pPr>
        <w:pStyle w:val="8"/>
        <w:numPr>
          <w:ilvl w:val="0"/>
          <w:numId w:val="23"/>
        </w:numPr>
        <w:ind w:left="0" w:firstLine="420" w:firstLineChars="200"/>
        <w:rPr>
          <w:color w:val="auto"/>
          <w:highlight w:val="none"/>
        </w:rPr>
      </w:pPr>
      <w:r>
        <w:rPr>
          <w:rFonts w:hint="eastAsia"/>
          <w:color w:val="auto"/>
          <w:highlight w:val="none"/>
        </w:rPr>
        <w:t>承包人应负责处理好工地周边街道、社区、城管、治安、环保、安监等对本工程有管辖权的政府职能部门及机构的关系，以保证工程的顺利进行。</w:t>
      </w:r>
    </w:p>
    <w:p>
      <w:pPr>
        <w:pStyle w:val="8"/>
        <w:numPr>
          <w:ilvl w:val="0"/>
          <w:numId w:val="23"/>
        </w:numPr>
        <w:ind w:left="0" w:firstLine="420" w:firstLineChars="200"/>
        <w:rPr>
          <w:color w:val="auto"/>
          <w:highlight w:val="none"/>
        </w:rPr>
      </w:pPr>
      <w:r>
        <w:rPr>
          <w:rFonts w:hint="eastAsia"/>
          <w:color w:val="auto"/>
          <w:highlight w:val="none"/>
        </w:rPr>
        <w:t>承包人必须按发包人要求的时间，将施工现场的临时设施及时拆除或清理，将施工人员（特别是施工班组人员）撤离施工现场，如承包人不能及时拆除或清理，发包人或现场监理人有权派人强行拆除并清理，造成的费用及责任均由承包人负责。</w:t>
      </w:r>
    </w:p>
    <w:p>
      <w:pPr>
        <w:pStyle w:val="7"/>
        <w:numPr>
          <w:ilvl w:val="2"/>
          <w:numId w:val="6"/>
        </w:numPr>
        <w:ind w:left="0" w:firstLine="420" w:firstLineChars="200"/>
        <w:rPr>
          <w:color w:val="auto"/>
          <w:highlight w:val="none"/>
        </w:rPr>
      </w:pPr>
      <w:r>
        <w:rPr>
          <w:rFonts w:hint="eastAsia"/>
          <w:color w:val="auto"/>
          <w:highlight w:val="none"/>
        </w:rPr>
        <w:t>工程的维护和照管</w:t>
      </w:r>
    </w:p>
    <w:p>
      <w:pPr>
        <w:pStyle w:val="8"/>
        <w:numPr>
          <w:ilvl w:val="0"/>
          <w:numId w:val="24"/>
        </w:numPr>
        <w:ind w:left="0" w:firstLine="420" w:firstLineChars="200"/>
        <w:rPr>
          <w:color w:val="auto"/>
          <w:highlight w:val="none"/>
        </w:rPr>
      </w:pPr>
      <w:r>
        <w:rPr>
          <w:rFonts w:hint="eastAsia"/>
          <w:color w:val="auto"/>
          <w:highlight w:val="none"/>
        </w:rPr>
        <w:t>整体工程竣工验收合格前，承包人应负责照管和维护本合同工程，承担本合同工程交付前完工工程成品保护责任（具体约定见专用条款）。保护期间本合同已完工工程发生损坏，承包人自费予以修复。</w:t>
      </w:r>
    </w:p>
    <w:p>
      <w:pPr>
        <w:pStyle w:val="7"/>
        <w:numPr>
          <w:ilvl w:val="2"/>
          <w:numId w:val="6"/>
        </w:numPr>
        <w:ind w:left="0" w:firstLine="420" w:firstLineChars="200"/>
        <w:rPr>
          <w:color w:val="auto"/>
          <w:highlight w:val="none"/>
        </w:rPr>
      </w:pPr>
      <w:r>
        <w:rPr>
          <w:rFonts w:hint="eastAsia"/>
          <w:color w:val="auto"/>
          <w:highlight w:val="none"/>
        </w:rPr>
        <w:t>承包人合规缴税和税费纠纷解决条款</w:t>
      </w:r>
    </w:p>
    <w:p>
      <w:pPr>
        <w:pStyle w:val="8"/>
        <w:numPr>
          <w:ilvl w:val="0"/>
          <w:numId w:val="25"/>
        </w:numPr>
        <w:ind w:left="0" w:firstLine="420" w:firstLineChars="200"/>
        <w:rPr>
          <w:color w:val="auto"/>
          <w:highlight w:val="none"/>
        </w:rPr>
      </w:pPr>
      <w:r>
        <w:rPr>
          <w:rFonts w:hint="eastAsia"/>
          <w:color w:val="auto"/>
          <w:highlight w:val="none"/>
        </w:rPr>
        <w:t>承包人须遵从相关政府部门、事业单位的法律、条例和通知(下称法定要求)，并呈交所需的通知及申请，及支付所须的费用和税项(下称法定费用)；</w:t>
      </w:r>
    </w:p>
    <w:p>
      <w:pPr>
        <w:pStyle w:val="8"/>
        <w:numPr>
          <w:ilvl w:val="0"/>
          <w:numId w:val="25"/>
        </w:numPr>
        <w:ind w:left="0" w:firstLine="420" w:firstLineChars="200"/>
        <w:rPr>
          <w:color w:val="auto"/>
          <w:highlight w:val="none"/>
        </w:rPr>
      </w:pPr>
      <w:r>
        <w:rPr>
          <w:rFonts w:hint="eastAsia"/>
          <w:color w:val="auto"/>
          <w:highlight w:val="none"/>
        </w:rPr>
        <w:t>若承包人未有缴交其应缴的法定费用，发包人可代缴该等法定费用，并从按本合同应付或将支付予承包人的款项中扣除；或以债项形式向承包人追讨；</w:t>
      </w:r>
    </w:p>
    <w:p>
      <w:pPr>
        <w:pStyle w:val="8"/>
        <w:numPr>
          <w:ilvl w:val="0"/>
          <w:numId w:val="25"/>
        </w:numPr>
        <w:ind w:left="0" w:firstLine="420" w:firstLineChars="200"/>
        <w:rPr>
          <w:color w:val="auto"/>
          <w:highlight w:val="none"/>
        </w:rPr>
      </w:pPr>
      <w:r>
        <w:rPr>
          <w:rFonts w:hint="eastAsia"/>
          <w:color w:val="auto"/>
          <w:highlight w:val="none"/>
        </w:rPr>
        <w:t>承包人在收取工程款时，必须向发包人提供合法、有效及发包人按中国有关税务规定入账的发票。因承包人提供的发票不符合税务规定给发包人造成的损失，承包方应承担全部赔偿责任，赔偿包括但不限于：A发包方交纳的税款B相关的滞纳金C罚款 ；</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承包人的其它义务</w:t>
      </w:r>
    </w:p>
    <w:p>
      <w:pPr>
        <w:pStyle w:val="8"/>
        <w:numPr>
          <w:ilvl w:val="0"/>
          <w:numId w:val="26"/>
        </w:numPr>
        <w:ind w:left="0" w:firstLine="420" w:firstLineChars="200"/>
        <w:rPr>
          <w:color w:val="auto"/>
          <w:highlight w:val="none"/>
        </w:rPr>
      </w:pPr>
      <w:r>
        <w:rPr>
          <w:rFonts w:hint="eastAsia"/>
          <w:color w:val="auto"/>
          <w:highlight w:val="none"/>
        </w:rPr>
        <w:t>承包人必须遵从监理人、发包人发出的指令，不得以指令所涉及的费用未确定为借口不执行或拖延执行。若承包人未有在合理时间之内执行已发出的指示，且在收到发包人催促执行的书面通知后7天之内仍未执行，则发包人有权聘请第三方执行该指示所要求的工作，由此产生的全部费用由承包人承担，发包人有权从本合同应付给承包人的款项中直接扣除。第三方完成的工作视为承包人完成工作，不减免承包人任何合同义务和责任。</w:t>
      </w:r>
    </w:p>
    <w:p>
      <w:pPr>
        <w:pStyle w:val="8"/>
        <w:numPr>
          <w:ilvl w:val="0"/>
          <w:numId w:val="26"/>
        </w:numPr>
        <w:ind w:left="0" w:firstLine="420" w:firstLineChars="200"/>
        <w:rPr>
          <w:color w:val="auto"/>
          <w:highlight w:val="none"/>
        </w:rPr>
      </w:pPr>
      <w:r>
        <w:rPr>
          <w:rFonts w:hint="eastAsia"/>
          <w:color w:val="auto"/>
          <w:highlight w:val="none"/>
        </w:rPr>
        <w:t>严格遵守国家、地方政府关于劳动合同、劳务用工的法律法规、女工、童工保护条例、职业健康与安全培训相关规定，及时足额支付员工薪酬和社保、劳务用工的劳动报酬。对发包人支付的工程款，承包人须优先用于支付所聘请员工薪酬和社保、劳务用工的劳动报酬。承包人有拖欠、克扣员工薪酬和社保、劳务用工的劳动劳务报酬行为的，发包人有权在承包人工程款中扣除相应款项，并直接支付给承包人所聘请员工、劳务用工（若专用条款有约定的，按专用条款执行）。</w:t>
      </w:r>
    </w:p>
    <w:p>
      <w:pPr>
        <w:pStyle w:val="8"/>
        <w:numPr>
          <w:ilvl w:val="0"/>
          <w:numId w:val="26"/>
        </w:numPr>
        <w:ind w:left="0" w:firstLine="420" w:firstLineChars="200"/>
        <w:rPr>
          <w:color w:val="auto"/>
          <w:highlight w:val="none"/>
        </w:rPr>
      </w:pPr>
      <w:r>
        <w:rPr>
          <w:rFonts w:hint="eastAsia"/>
          <w:color w:val="auto"/>
          <w:highlight w:val="none"/>
        </w:rPr>
        <w:t>对于本合同约定承包人应当提交给发包人审批、认可的事项，承包人均须预留给发包人充分合理的时间以便发包人正确的完成审批、认可。若因承包人迟交物料、样本、文件或工作并导致发包人没有充分合理的时间完成审批和认可，承包人需承担一切延误时间责任及经济责任。</w:t>
      </w:r>
    </w:p>
    <w:p>
      <w:pPr>
        <w:pStyle w:val="8"/>
        <w:numPr>
          <w:ilvl w:val="0"/>
          <w:numId w:val="26"/>
        </w:numPr>
        <w:ind w:left="0" w:firstLine="420" w:firstLineChars="200"/>
        <w:rPr>
          <w:color w:val="auto"/>
          <w:highlight w:val="none"/>
        </w:rPr>
      </w:pPr>
      <w:r>
        <w:rPr>
          <w:rFonts w:hint="eastAsia"/>
          <w:color w:val="auto"/>
          <w:highlight w:val="none"/>
        </w:rPr>
        <w:t>承包人应遵守发包人发布的该项目的现场管理办法等工程管理相关制度，并积极配合发包人的供方评估，评估中发现的问题承包人应积极改进。承包人违反发包人现场管理制度有关规定的，按照发包人现场管理制度的有关规定处理。</w:t>
      </w:r>
    </w:p>
    <w:p>
      <w:pPr>
        <w:pStyle w:val="8"/>
        <w:numPr>
          <w:ilvl w:val="0"/>
          <w:numId w:val="26"/>
        </w:numPr>
        <w:ind w:left="0" w:firstLine="420" w:firstLineChars="200"/>
        <w:rPr>
          <w:color w:val="auto"/>
          <w:highlight w:val="none"/>
        </w:rPr>
      </w:pPr>
      <w:r>
        <w:rPr>
          <w:rFonts w:hint="eastAsia"/>
          <w:color w:val="auto"/>
          <w:highlight w:val="none"/>
        </w:rPr>
        <w:t>由于承包人原因在施工场地内及其毗邻造成的第三方人身伤亡和财产损失，由承包人负责赔偿和处理。</w:t>
      </w:r>
    </w:p>
    <w:p>
      <w:pPr>
        <w:ind w:firstLine="525" w:firstLineChars="250"/>
        <w:rPr>
          <w:color w:val="auto"/>
          <w:highlight w:val="none"/>
        </w:rPr>
      </w:pPr>
      <w:r>
        <w:rPr>
          <w:rFonts w:hint="eastAsia"/>
          <w:color w:val="auto"/>
          <w:highlight w:val="none"/>
        </w:rPr>
        <w:t>6）其它义务在专用条款中补充约定。</w:t>
      </w:r>
    </w:p>
    <w:p>
      <w:pPr>
        <w:pStyle w:val="6"/>
        <w:numPr>
          <w:ilvl w:val="1"/>
          <w:numId w:val="6"/>
        </w:numPr>
        <w:ind w:left="0" w:firstLine="422" w:firstLineChars="200"/>
        <w:rPr>
          <w:color w:val="auto"/>
          <w:highlight w:val="none"/>
        </w:rPr>
      </w:pPr>
      <w:r>
        <w:rPr>
          <w:rFonts w:hint="eastAsia"/>
          <w:color w:val="auto"/>
          <w:highlight w:val="none"/>
        </w:rPr>
        <w:t>履约担保</w:t>
      </w:r>
    </w:p>
    <w:p>
      <w:pPr>
        <w:pStyle w:val="7"/>
        <w:numPr>
          <w:ilvl w:val="2"/>
          <w:numId w:val="6"/>
        </w:numPr>
        <w:rPr>
          <w:color w:val="auto"/>
          <w:highlight w:val="none"/>
        </w:rPr>
      </w:pPr>
      <w:r>
        <w:rPr>
          <w:rFonts w:hint="eastAsia"/>
          <w:color w:val="auto"/>
          <w:highlight w:val="none"/>
        </w:rPr>
        <w:t>承包人应向发包人提供履约保函，履约担保的格式见附件《履约保函》。承包人应按本合同所附履约保函格式，在首笔工程进度款支付前向发包人提供见索即付、不可撤销的发包人认可的在中华人民共和国注册并经营的银行出具的银行履约保函，其对发包人的保障不得低于合同所附履约保函格式的要求。</w:t>
      </w:r>
    </w:p>
    <w:p>
      <w:pPr>
        <w:pStyle w:val="7"/>
        <w:numPr>
          <w:ilvl w:val="2"/>
          <w:numId w:val="6"/>
        </w:numPr>
        <w:ind w:left="0" w:firstLine="420" w:firstLineChars="200"/>
        <w:rPr>
          <w:color w:val="auto"/>
          <w:highlight w:val="none"/>
        </w:rPr>
      </w:pPr>
      <w:r>
        <w:rPr>
          <w:rFonts w:hint="eastAsia"/>
          <w:color w:val="auto"/>
          <w:highlight w:val="none"/>
        </w:rPr>
        <w:t>承包人未严格按合同规定时间和格式提供履约保函的，发包人可解除本合同。若发包人同意继续履行合同的，可以从应付给承包人的款项中扣除等额款项作为履约担保，直至承包人按合同规定格式提供履约担保至履约担保有效期结束时止。承包人应在其提供的履约保函到期前提前7天以上自动续期该履约保函，否则，发包人有权主张履约保函项下的全部金额，或从应付的合同价款中扣除等额款项作为履约担保。</w:t>
      </w:r>
    </w:p>
    <w:p>
      <w:pPr>
        <w:pStyle w:val="7"/>
        <w:numPr>
          <w:ilvl w:val="2"/>
          <w:numId w:val="6"/>
        </w:numPr>
        <w:ind w:left="0" w:firstLine="420" w:firstLineChars="200"/>
        <w:rPr>
          <w:color w:val="auto"/>
          <w:highlight w:val="none"/>
        </w:rPr>
      </w:pPr>
      <w:r>
        <w:rPr>
          <w:rFonts w:hint="eastAsia"/>
          <w:color w:val="auto"/>
          <w:highlight w:val="none"/>
        </w:rPr>
        <w:t>履约保函的担保额度按专用条款约定。</w:t>
      </w:r>
    </w:p>
    <w:p>
      <w:pPr>
        <w:pStyle w:val="6"/>
        <w:numPr>
          <w:ilvl w:val="1"/>
          <w:numId w:val="6"/>
        </w:numPr>
        <w:ind w:left="0" w:firstLine="422" w:firstLineChars="200"/>
        <w:rPr>
          <w:color w:val="auto"/>
          <w:highlight w:val="none"/>
        </w:rPr>
      </w:pPr>
      <w:r>
        <w:rPr>
          <w:rFonts w:hint="eastAsia"/>
          <w:color w:val="auto"/>
          <w:highlight w:val="none"/>
        </w:rPr>
        <w:tab/>
      </w:r>
      <w:r>
        <w:rPr>
          <w:rFonts w:hint="eastAsia"/>
          <w:color w:val="auto"/>
          <w:highlight w:val="none"/>
        </w:rPr>
        <w:t>分包</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不得将其承包的全部工程转包给第三人，不得将工程主体、关键性工作分包给第三人,或将其承包的全部工程肢解后以分包的名义转包给第三人。承包人将非工程主体、非关键性工作分包给第三人的，须取得发包人的书面同意后方可进行，否则不允许进场。</w:t>
      </w:r>
    </w:p>
    <w:p>
      <w:pPr>
        <w:pStyle w:val="7"/>
        <w:numPr>
          <w:ilvl w:val="2"/>
          <w:numId w:val="6"/>
        </w:numPr>
        <w:ind w:left="0" w:firstLine="420" w:firstLineChars="200"/>
        <w:rPr>
          <w:color w:val="auto"/>
          <w:highlight w:val="none"/>
        </w:rPr>
      </w:pPr>
      <w:r>
        <w:rPr>
          <w:rFonts w:hint="eastAsia"/>
          <w:color w:val="auto"/>
          <w:highlight w:val="none"/>
        </w:rPr>
        <w:t>分包人的资格能力应与其分包工程的标准和规模相适应。承包人应与分包人就分包工程向发包人承担连带责任。</w:t>
      </w:r>
    </w:p>
    <w:p>
      <w:pPr>
        <w:pStyle w:val="6"/>
        <w:numPr>
          <w:ilvl w:val="1"/>
          <w:numId w:val="6"/>
        </w:numPr>
        <w:ind w:left="0" w:firstLine="422" w:firstLineChars="200"/>
        <w:rPr>
          <w:color w:val="auto"/>
          <w:highlight w:val="none"/>
        </w:rPr>
      </w:pPr>
      <w:r>
        <w:rPr>
          <w:rFonts w:hint="eastAsia"/>
          <w:color w:val="auto"/>
          <w:highlight w:val="none"/>
        </w:rPr>
        <w:t>承包人项目经理</w:t>
      </w:r>
    </w:p>
    <w:p>
      <w:pPr>
        <w:pStyle w:val="7"/>
        <w:numPr>
          <w:ilvl w:val="2"/>
          <w:numId w:val="6"/>
        </w:numPr>
        <w:ind w:left="0" w:firstLine="420" w:firstLineChars="200"/>
        <w:rPr>
          <w:color w:val="auto"/>
          <w:highlight w:val="none"/>
        </w:rPr>
      </w:pPr>
      <w:r>
        <w:rPr>
          <w:rFonts w:hint="eastAsia"/>
          <w:color w:val="auto"/>
          <w:highlight w:val="none"/>
        </w:rPr>
        <w:t>承包人项目经理全权代表承包人对本工程的建设进行全面管理，行使合同约定的权利，履行合同约定的义务。项目经理的姓名、职务在专用条款内写明，项目经理必须常驻工地现场，其全部工作时间应用于本工程的管理，不得兼任其他工作。</w:t>
      </w:r>
    </w:p>
    <w:p>
      <w:pPr>
        <w:pStyle w:val="7"/>
        <w:numPr>
          <w:ilvl w:val="2"/>
          <w:numId w:val="6"/>
        </w:numPr>
        <w:ind w:left="0" w:firstLine="420" w:firstLineChars="200"/>
        <w:rPr>
          <w:color w:val="auto"/>
          <w:highlight w:val="none"/>
        </w:rPr>
      </w:pPr>
      <w:r>
        <w:rPr>
          <w:rFonts w:hint="eastAsia"/>
          <w:color w:val="auto"/>
          <w:highlight w:val="none"/>
        </w:rPr>
        <w:t>发包人及其授权代表给予项目经理的任何指示将视为有效地给予了承包人。</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对承包人项目经理的管理要求在专用条款中说明。</w:t>
      </w:r>
    </w:p>
    <w:p>
      <w:pPr>
        <w:pStyle w:val="7"/>
        <w:numPr>
          <w:ilvl w:val="2"/>
          <w:numId w:val="6"/>
        </w:numPr>
        <w:ind w:left="0" w:firstLine="420" w:firstLineChars="200"/>
        <w:rPr>
          <w:color w:val="auto"/>
          <w:highlight w:val="none"/>
        </w:rPr>
      </w:pPr>
      <w:r>
        <w:rPr>
          <w:rFonts w:hint="eastAsia"/>
          <w:color w:val="auto"/>
          <w:highlight w:val="none"/>
        </w:rPr>
        <w:t>承包人如需更换项目经理，应至少提前7天将备选项目经理资料报发包人，征得发包人同意后方可更换项目经理。后任继续行使合同文件约定的前任的职权，履行前任的义务。更换项目经理必须履行相关政府备案程序。</w:t>
      </w:r>
    </w:p>
    <w:p>
      <w:pPr>
        <w:pStyle w:val="7"/>
        <w:numPr>
          <w:ilvl w:val="2"/>
          <w:numId w:val="6"/>
        </w:numPr>
        <w:ind w:left="0" w:firstLine="420" w:firstLineChars="200"/>
        <w:rPr>
          <w:color w:val="auto"/>
          <w:highlight w:val="none"/>
        </w:rPr>
      </w:pPr>
      <w:r>
        <w:rPr>
          <w:rFonts w:hint="eastAsia"/>
          <w:color w:val="auto"/>
          <w:highlight w:val="none"/>
        </w:rPr>
        <w:t>承包人为履行合同发出的一切函件均应盖有承包人授权的施工场地管理机构章，并由承包人项目经理或其授权代表签字。</w:t>
      </w:r>
    </w:p>
    <w:p>
      <w:pPr>
        <w:pStyle w:val="7"/>
        <w:numPr>
          <w:ilvl w:val="2"/>
          <w:numId w:val="6"/>
        </w:numPr>
        <w:ind w:left="0" w:firstLine="420" w:firstLineChars="200"/>
        <w:rPr>
          <w:color w:val="auto"/>
          <w:highlight w:val="none"/>
        </w:rPr>
      </w:pPr>
      <w:r>
        <w:rPr>
          <w:rFonts w:hint="eastAsia"/>
          <w:color w:val="auto"/>
          <w:highlight w:val="none"/>
        </w:rPr>
        <w:t>承包人项目经理可以授权其下属人员履行其某项职责，但应提前7日应将这些人员的姓名和授权范围通知发包人和监理人，并经发包人和监理人书面同意后方可授权。任何授权或授权的撤销，应在发包人收到项目经理签发的授权委托书或撤销授权的事先书面通知后生效。</w:t>
      </w:r>
    </w:p>
    <w:p>
      <w:pPr>
        <w:pStyle w:val="6"/>
        <w:numPr>
          <w:ilvl w:val="1"/>
          <w:numId w:val="6"/>
        </w:numPr>
        <w:ind w:left="0" w:firstLine="422" w:firstLineChars="200"/>
        <w:rPr>
          <w:color w:val="auto"/>
          <w:highlight w:val="none"/>
        </w:rPr>
      </w:pPr>
      <w:r>
        <w:rPr>
          <w:rFonts w:hint="eastAsia"/>
          <w:color w:val="auto"/>
          <w:highlight w:val="none"/>
        </w:rPr>
        <w:t>承包人人员的管理</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发包人对于其组成人员有异议的，承包人应提供证据证明被质疑人员有能力完成其岗位工作。</w:t>
      </w:r>
    </w:p>
    <w:p>
      <w:pPr>
        <w:pStyle w:val="7"/>
        <w:numPr>
          <w:ilvl w:val="2"/>
          <w:numId w:val="6"/>
        </w:numPr>
        <w:ind w:left="0" w:firstLine="420" w:firstLineChars="200"/>
        <w:rPr>
          <w:color w:val="auto"/>
          <w:highlight w:val="none"/>
        </w:rPr>
      </w:pPr>
      <w:r>
        <w:rPr>
          <w:rFonts w:hint="eastAsia"/>
          <w:color w:val="auto"/>
          <w:highlight w:val="none"/>
        </w:rPr>
        <w:t>为完成合同约定的各项工作，承包人应向施工场地派遣或雇佣足够数量的下列人员：</w:t>
      </w:r>
    </w:p>
    <w:p>
      <w:pPr>
        <w:pStyle w:val="8"/>
        <w:numPr>
          <w:ilvl w:val="0"/>
          <w:numId w:val="27"/>
        </w:numPr>
        <w:rPr>
          <w:color w:val="auto"/>
          <w:highlight w:val="none"/>
        </w:rPr>
      </w:pPr>
      <w:r>
        <w:rPr>
          <w:rFonts w:hint="eastAsia"/>
          <w:color w:val="auto"/>
          <w:highlight w:val="none"/>
        </w:rPr>
        <w:t>具有相应资格的专业技工和合格的普工；</w:t>
      </w:r>
    </w:p>
    <w:p>
      <w:pPr>
        <w:pStyle w:val="8"/>
        <w:rPr>
          <w:color w:val="auto"/>
          <w:highlight w:val="none"/>
        </w:rPr>
      </w:pPr>
      <w:r>
        <w:rPr>
          <w:rFonts w:hint="eastAsia"/>
          <w:color w:val="auto"/>
          <w:highlight w:val="none"/>
        </w:rPr>
        <w:t>具有相应施工经验的技术人员；</w:t>
      </w:r>
    </w:p>
    <w:p>
      <w:pPr>
        <w:pStyle w:val="8"/>
        <w:rPr>
          <w:color w:val="auto"/>
          <w:highlight w:val="none"/>
        </w:rPr>
      </w:pPr>
      <w:r>
        <w:rPr>
          <w:rFonts w:hint="eastAsia"/>
          <w:color w:val="auto"/>
          <w:highlight w:val="none"/>
        </w:rPr>
        <w:t>具有相应岗位资格的各级管理人员。</w:t>
      </w:r>
    </w:p>
    <w:p>
      <w:pPr>
        <w:pStyle w:val="7"/>
        <w:numPr>
          <w:ilvl w:val="2"/>
          <w:numId w:val="6"/>
        </w:numPr>
        <w:ind w:left="0" w:firstLine="420" w:firstLineChars="200"/>
        <w:rPr>
          <w:color w:val="auto"/>
          <w:highlight w:val="none"/>
        </w:rPr>
      </w:pPr>
      <w:r>
        <w:rPr>
          <w:rFonts w:hint="eastAsia"/>
          <w:color w:val="auto"/>
          <w:highlight w:val="none"/>
        </w:rPr>
        <w:t>承包人安排在施工场地的主要管理人员和技术骨干应相对稳定。承包人更换主要管理人员和技术骨干时，应取得监理人、发包人的书面同意。</w:t>
      </w:r>
    </w:p>
    <w:p>
      <w:pPr>
        <w:pStyle w:val="7"/>
        <w:numPr>
          <w:ilvl w:val="2"/>
          <w:numId w:val="6"/>
        </w:numPr>
        <w:ind w:left="0" w:firstLine="420" w:firstLineChars="200"/>
        <w:rPr>
          <w:color w:val="auto"/>
          <w:highlight w:val="none"/>
        </w:rPr>
      </w:pPr>
      <w:r>
        <w:rPr>
          <w:rFonts w:hint="eastAsia"/>
          <w:color w:val="auto"/>
          <w:highlight w:val="none"/>
        </w:rPr>
        <w:t>特殊岗位的工作人员均应持有相应的资格证明，监理人有权随时检查。监理人认为有必要时，可进行现场考核。</w:t>
      </w:r>
    </w:p>
    <w:p>
      <w:pPr>
        <w:pStyle w:val="7"/>
        <w:numPr>
          <w:ilvl w:val="2"/>
          <w:numId w:val="6"/>
        </w:numPr>
        <w:ind w:left="0" w:firstLine="420" w:firstLineChars="200"/>
        <w:rPr>
          <w:color w:val="auto"/>
          <w:highlight w:val="none"/>
        </w:rPr>
      </w:pPr>
      <w:r>
        <w:rPr>
          <w:rFonts w:hint="eastAsia"/>
          <w:color w:val="auto"/>
          <w:highlight w:val="none"/>
        </w:rPr>
        <w:t>承包人和其施工人员之间的劳动、雇佣（劳务）关系一概和发包人无关。承包人应自行承担施工人员的劳动报酬、社会保险和福利待遇等，办理工伤保险。承包人不得拖欠劳动报酬，若因承包人拖欠工人劳动报酬引起的一切法律、经济责任由承包人自行承担，若由此造成工程停工、工期延误和发包人损失的，由承包人负责赔偿。</w:t>
      </w:r>
    </w:p>
    <w:p>
      <w:pPr>
        <w:pStyle w:val="6"/>
        <w:numPr>
          <w:ilvl w:val="1"/>
          <w:numId w:val="6"/>
        </w:numPr>
        <w:ind w:left="0" w:firstLine="422" w:firstLineChars="200"/>
        <w:rPr>
          <w:color w:val="auto"/>
          <w:highlight w:val="none"/>
        </w:rPr>
      </w:pPr>
      <w:r>
        <w:rPr>
          <w:rFonts w:hint="eastAsia"/>
          <w:color w:val="auto"/>
          <w:highlight w:val="none"/>
        </w:rPr>
        <w:t>撤换承包人项目经理和其他人员</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承包人应对其项目经理和其他人员进行有效管理。发包人、监理人要求撤换不能胜任本职工作、行为不端或玩忽职守的承包人项目经理和其他人员的，承包人应予以撤换。</w:t>
      </w:r>
    </w:p>
    <w:p>
      <w:pPr>
        <w:pStyle w:val="7"/>
        <w:numPr>
          <w:ilvl w:val="2"/>
          <w:numId w:val="6"/>
        </w:numPr>
        <w:ind w:left="0" w:firstLine="420" w:firstLineChars="200"/>
        <w:rPr>
          <w:color w:val="auto"/>
          <w:highlight w:val="none"/>
        </w:rPr>
      </w:pPr>
      <w:r>
        <w:rPr>
          <w:rFonts w:hint="eastAsia"/>
          <w:color w:val="auto"/>
          <w:highlight w:val="none"/>
        </w:rPr>
        <w:t>具体约定见专用条款。</w:t>
      </w:r>
    </w:p>
    <w:p>
      <w:pPr>
        <w:pStyle w:val="6"/>
        <w:numPr>
          <w:ilvl w:val="1"/>
          <w:numId w:val="6"/>
        </w:numPr>
        <w:ind w:left="0" w:firstLine="422" w:firstLineChars="200"/>
        <w:rPr>
          <w:color w:val="auto"/>
          <w:highlight w:val="none"/>
        </w:rPr>
      </w:pPr>
      <w:r>
        <w:rPr>
          <w:rFonts w:hint="eastAsia"/>
          <w:color w:val="auto"/>
          <w:highlight w:val="none"/>
        </w:rPr>
        <w:t>保障承包人人员的合法权益</w:t>
      </w:r>
    </w:p>
    <w:p>
      <w:pPr>
        <w:pStyle w:val="7"/>
        <w:numPr>
          <w:ilvl w:val="2"/>
          <w:numId w:val="6"/>
        </w:numPr>
        <w:ind w:left="0" w:firstLine="420" w:firstLineChars="200"/>
        <w:rPr>
          <w:color w:val="auto"/>
          <w:highlight w:val="none"/>
        </w:rPr>
      </w:pPr>
      <w:r>
        <w:rPr>
          <w:rFonts w:hint="eastAsia"/>
          <w:color w:val="auto"/>
          <w:highlight w:val="none"/>
        </w:rPr>
        <w:t>承包人应与其雇佣的人员签订劳动合同，并按时发放工资。</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承包人应为其雇佣人员提供必要的食宿条件，以及符合环境保护和卫生要求的生活环境，在远离城镇的施工场地，还应配备必要的伤病防治和急救的医务人员与医疗设施。</w:t>
      </w:r>
    </w:p>
    <w:p>
      <w:pPr>
        <w:pStyle w:val="7"/>
        <w:numPr>
          <w:ilvl w:val="2"/>
          <w:numId w:val="6"/>
        </w:numPr>
        <w:ind w:left="0" w:firstLine="420" w:firstLineChars="200"/>
        <w:rPr>
          <w:color w:val="auto"/>
          <w:highlight w:val="none"/>
        </w:rPr>
      </w:pPr>
      <w:r>
        <w:rPr>
          <w:rFonts w:hint="eastAsia"/>
          <w:color w:val="auto"/>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Style w:val="7"/>
        <w:numPr>
          <w:ilvl w:val="2"/>
          <w:numId w:val="6"/>
        </w:numPr>
        <w:ind w:left="0" w:firstLine="420" w:firstLineChars="200"/>
        <w:rPr>
          <w:color w:val="auto"/>
          <w:highlight w:val="none"/>
        </w:rPr>
      </w:pPr>
      <w:r>
        <w:rPr>
          <w:rFonts w:hint="eastAsia"/>
          <w:color w:val="auto"/>
          <w:highlight w:val="none"/>
        </w:rPr>
        <w:t>承包人应按有关法律规定和合同约定，为其雇佣人员办理保险。</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承包人应负责妥善处理其雇佣人员因工伤亡事故的善后事宜，保障发包人和本工程不因其遭受任何滋扰、保障发包人不发生任何费用、损失。</w:t>
      </w:r>
    </w:p>
    <w:p>
      <w:pPr>
        <w:pStyle w:val="6"/>
        <w:numPr>
          <w:ilvl w:val="1"/>
          <w:numId w:val="6"/>
        </w:numPr>
        <w:ind w:left="0" w:firstLine="422" w:firstLineChars="200"/>
        <w:rPr>
          <w:color w:val="auto"/>
          <w:highlight w:val="none"/>
        </w:rPr>
      </w:pPr>
      <w:r>
        <w:rPr>
          <w:rFonts w:hint="eastAsia"/>
          <w:color w:val="auto"/>
          <w:highlight w:val="none"/>
        </w:rPr>
        <w:t>工程价款应专款专用</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发包人按合同约定支付给承包人的各项价款应专用于合同工程。</w:t>
      </w:r>
    </w:p>
    <w:p>
      <w:pPr>
        <w:pStyle w:val="6"/>
        <w:numPr>
          <w:ilvl w:val="1"/>
          <w:numId w:val="6"/>
        </w:numPr>
        <w:ind w:left="0" w:firstLine="422" w:firstLineChars="200"/>
        <w:rPr>
          <w:color w:val="auto"/>
          <w:highlight w:val="none"/>
        </w:rPr>
      </w:pPr>
      <w:r>
        <w:rPr>
          <w:rFonts w:hint="eastAsia"/>
          <w:color w:val="auto"/>
          <w:highlight w:val="none"/>
        </w:rPr>
        <w:t xml:space="preserve">承包人现场查勘                                                                                                           </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应对施工场地和周围环境进行查勘，并收集有关气象条件、交通条件、风俗习惯以及其他为完成合同工作有关的当地资料。在全部合同工作中，应视为承包人已充分估计了应承担的责任和风险，对相关资料进行了认真细致和全面的查勘和检查，并且已经就任何可能存在的疑问向发包人或监理人获取了足够的澄清和解答，有关的风险均视为已包括在承包人的合同暂定总价中。</w:t>
      </w:r>
    </w:p>
    <w:p>
      <w:pPr>
        <w:pStyle w:val="7"/>
        <w:numPr>
          <w:ilvl w:val="2"/>
          <w:numId w:val="6"/>
        </w:numPr>
        <w:ind w:left="720" w:hangingChars="343"/>
        <w:rPr>
          <w:color w:val="auto"/>
          <w:highlight w:val="none"/>
        </w:rPr>
      </w:pPr>
      <w:r>
        <w:rPr>
          <w:rFonts w:hint="eastAsia"/>
          <w:color w:val="auto"/>
          <w:highlight w:val="none"/>
        </w:rPr>
        <w:t>发包人向承包人提供的其他资料在专用条款里写明。</w:t>
      </w:r>
    </w:p>
    <w:p>
      <w:pPr>
        <w:pStyle w:val="6"/>
        <w:numPr>
          <w:ilvl w:val="1"/>
          <w:numId w:val="6"/>
        </w:numPr>
        <w:ind w:left="0" w:firstLine="422" w:firstLineChars="200"/>
        <w:rPr>
          <w:color w:val="auto"/>
          <w:highlight w:val="none"/>
        </w:rPr>
      </w:pPr>
      <w:r>
        <w:rPr>
          <w:rFonts w:hint="eastAsia"/>
          <w:color w:val="auto"/>
          <w:highlight w:val="none"/>
        </w:rPr>
        <w:t>不利物质条件</w:t>
      </w:r>
    </w:p>
    <w:p>
      <w:pPr>
        <w:pStyle w:val="7"/>
        <w:numPr>
          <w:ilvl w:val="2"/>
          <w:numId w:val="6"/>
        </w:numPr>
        <w:ind w:left="0" w:firstLine="420" w:firstLineChars="200"/>
        <w:rPr>
          <w:color w:val="auto"/>
          <w:highlight w:val="none"/>
        </w:rPr>
      </w:pPr>
      <w:r>
        <w:rPr>
          <w:rFonts w:hint="eastAsia"/>
          <w:color w:val="auto"/>
          <w:highlight w:val="none"/>
        </w:rPr>
        <w:t>不利物质条件，除专用条款另有约定外，是指承包人在施工场地遇到的不可预见的自然物质条件、非自然的物质障碍和污染物，包括地下和水文条件，但不包括气候条件。</w:t>
      </w:r>
    </w:p>
    <w:p>
      <w:pPr>
        <w:pStyle w:val="7"/>
        <w:numPr>
          <w:ilvl w:val="2"/>
          <w:numId w:val="6"/>
        </w:numPr>
        <w:ind w:left="0" w:firstLine="420" w:firstLineChars="200"/>
        <w:rPr>
          <w:color w:val="auto"/>
          <w:highlight w:val="none"/>
        </w:rPr>
      </w:pPr>
      <w:r>
        <w:rPr>
          <w:rFonts w:hint="eastAsia"/>
          <w:color w:val="auto"/>
          <w:highlight w:val="none"/>
        </w:rPr>
        <w:t>承包人遇到不利物质条件时，应采取适应不利物质条件的合理措施继续施工，并及时通知监理人。监理人应当及时发出指示，若指示构成变更的，按变更约定办理。</w:t>
      </w:r>
    </w:p>
    <w:p>
      <w:pPr>
        <w:pStyle w:val="5"/>
        <w:numPr>
          <w:ilvl w:val="0"/>
          <w:numId w:val="6"/>
        </w:numPr>
        <w:ind w:left="0" w:firstLine="562" w:firstLineChars="200"/>
        <w:rPr>
          <w:color w:val="auto"/>
          <w:highlight w:val="none"/>
        </w:rPr>
      </w:pPr>
      <w:bookmarkStart w:id="49" w:name="_Toc33448378"/>
      <w:bookmarkStart w:id="50" w:name="_Toc464649538"/>
      <w:bookmarkStart w:id="51" w:name="_Toc33446051"/>
      <w:bookmarkStart w:id="52" w:name="_Toc33448449"/>
      <w:bookmarkStart w:id="53" w:name="_Toc33445948"/>
      <w:bookmarkStart w:id="54" w:name="_Toc33092161"/>
      <w:bookmarkStart w:id="55" w:name="_Toc33445873"/>
      <w:bookmarkStart w:id="56" w:name="_Toc133502173"/>
      <w:bookmarkStart w:id="57" w:name="_Toc22216"/>
      <w:r>
        <w:rPr>
          <w:rFonts w:hint="eastAsia"/>
          <w:color w:val="auto"/>
          <w:highlight w:val="none"/>
        </w:rPr>
        <w:t>材料和工程设备</w:t>
      </w:r>
      <w:bookmarkEnd w:id="49"/>
      <w:bookmarkEnd w:id="50"/>
      <w:bookmarkEnd w:id="51"/>
      <w:bookmarkEnd w:id="52"/>
      <w:bookmarkEnd w:id="53"/>
      <w:bookmarkEnd w:id="54"/>
      <w:bookmarkEnd w:id="55"/>
      <w:bookmarkEnd w:id="56"/>
      <w:bookmarkEnd w:id="57"/>
    </w:p>
    <w:p>
      <w:pPr>
        <w:pStyle w:val="6"/>
        <w:numPr>
          <w:ilvl w:val="1"/>
          <w:numId w:val="6"/>
        </w:numPr>
        <w:ind w:left="0" w:firstLine="422" w:firstLineChars="200"/>
        <w:rPr>
          <w:color w:val="auto"/>
          <w:highlight w:val="none"/>
        </w:rPr>
      </w:pPr>
      <w:r>
        <w:rPr>
          <w:rFonts w:hint="eastAsia"/>
          <w:color w:val="auto"/>
          <w:highlight w:val="none"/>
        </w:rPr>
        <w:t>承包人提供的材料和工程设备</w:t>
      </w:r>
    </w:p>
    <w:p>
      <w:pPr>
        <w:pStyle w:val="7"/>
        <w:numPr>
          <w:ilvl w:val="2"/>
          <w:numId w:val="6"/>
        </w:numPr>
        <w:ind w:left="0" w:firstLine="420" w:firstLineChars="200"/>
        <w:rPr>
          <w:color w:val="auto"/>
          <w:highlight w:val="none"/>
        </w:rPr>
      </w:pPr>
      <w:r>
        <w:rPr>
          <w:rFonts w:hint="eastAsia"/>
          <w:color w:val="auto"/>
          <w:highlight w:val="none"/>
        </w:rPr>
        <w:t>发包人指定的材料和工程设备在专用条款中说明。</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除专用条款另有约定外，承包人提供的材料和工程设备均由承包人负责采购、运输和保管。承包人应对其采购的材料和工程设备负责。</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承包人提供的材料和工程设备必须符合合同文件的要求及国家有关规范、标准、有关职能部门规定的要求。</w:t>
      </w:r>
    </w:p>
    <w:p>
      <w:pPr>
        <w:pStyle w:val="7"/>
        <w:numPr>
          <w:ilvl w:val="2"/>
          <w:numId w:val="6"/>
        </w:numPr>
        <w:ind w:left="0" w:firstLine="420" w:firstLineChars="200"/>
        <w:rPr>
          <w:color w:val="auto"/>
          <w:highlight w:val="none"/>
        </w:rPr>
      </w:pPr>
      <w:r>
        <w:rPr>
          <w:rFonts w:hint="eastAsia"/>
          <w:color w:val="auto"/>
          <w:highlight w:val="none"/>
        </w:rPr>
        <w:t>承包人须按专用条款中规定的时间向监理人、发包人提交材料和工程设备的品牌、规格、价格、实验报告、产品合格证明、样品等资料，对材料和工程设备质量负责，经监理人、发包人认可后才能用于本工程。</w:t>
      </w:r>
    </w:p>
    <w:p>
      <w:pPr>
        <w:pStyle w:val="7"/>
        <w:numPr>
          <w:ilvl w:val="2"/>
          <w:numId w:val="6"/>
        </w:numPr>
        <w:ind w:left="0" w:firstLine="420" w:firstLineChars="200"/>
        <w:rPr>
          <w:color w:val="auto"/>
          <w:highlight w:val="none"/>
        </w:rPr>
      </w:pPr>
      <w:r>
        <w:rPr>
          <w:rFonts w:hint="eastAsia"/>
          <w:color w:val="auto"/>
          <w:highlight w:val="none"/>
        </w:rPr>
        <w:t>样品：在施工前，承包人应按照发包人和监理人的要求免费提供工程所需样品，并由发包人和监理人确认后，封存于发包人或监理人场所，作为以后验收货物和（或）工程的标准。发包人对任何样品的认可，并不会减轻或解除承包人按合同须履行的责任。若样品存在任何隐蔽瑕疵或任何缺陷，均不免除或减轻承包人在本合同项下的质量保证责任。</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承包人需在材料和工程设备到场前7天准备资料及相关材料报送监理人、发包人，审核通过后方能进场，并在到场时进行验收清点。</w:t>
      </w:r>
    </w:p>
    <w:p>
      <w:pPr>
        <w:pStyle w:val="7"/>
        <w:numPr>
          <w:ilvl w:val="2"/>
          <w:numId w:val="6"/>
        </w:numPr>
        <w:ind w:left="0" w:firstLine="420" w:firstLineChars="200"/>
        <w:rPr>
          <w:color w:val="auto"/>
          <w:highlight w:val="none"/>
        </w:rPr>
      </w:pPr>
      <w:r>
        <w:rPr>
          <w:rFonts w:hint="eastAsia"/>
          <w:color w:val="auto"/>
          <w:highlight w:val="none"/>
        </w:rPr>
        <w:t>承包人提供的材料和工程设备在使用前，应按监理人或发包人的要求进行检验或试验，不合格的不得使用，检验或试验费用由承包人承担。</w:t>
      </w:r>
    </w:p>
    <w:p>
      <w:pPr>
        <w:pStyle w:val="7"/>
        <w:numPr>
          <w:ilvl w:val="2"/>
          <w:numId w:val="6"/>
        </w:numPr>
        <w:ind w:left="0" w:firstLine="420" w:firstLineChars="200"/>
        <w:rPr>
          <w:color w:val="auto"/>
          <w:highlight w:val="none"/>
        </w:rPr>
      </w:pPr>
      <w:r>
        <w:rPr>
          <w:rFonts w:hint="eastAsia"/>
          <w:color w:val="auto"/>
          <w:highlight w:val="none"/>
        </w:rPr>
        <w:t>本工程按见证及监督取样送检的要求进行材料的检测，检测费用按专用条款的约定承担。在超出见证取样送检规定之外的情况下，若监理人或发包人对进场报验材料仍有异议，可按规定程序进行抽检，检验费用由承包人先行支付。若检验合格，检验费用由发包人承担；若检验不合格，检验费用由承包人承担，并由承包人承担由此给发包人造成的损失。</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采购和（或）使用不符合设计和合同要求的材料和工程设备时，承包人应负责修复、拆除或重新采购，并承担由此发生的费用，工期不予顺延。承包人不得将假冒伪劣材料设备用于本工程，否则按专用条款的约定承担相应的违约责任。</w:t>
      </w:r>
    </w:p>
    <w:p>
      <w:pPr>
        <w:pStyle w:val="7"/>
        <w:numPr>
          <w:ilvl w:val="2"/>
          <w:numId w:val="6"/>
        </w:numPr>
        <w:ind w:left="0" w:firstLine="420" w:firstLineChars="200"/>
        <w:rPr>
          <w:color w:val="auto"/>
          <w:highlight w:val="none"/>
        </w:rPr>
      </w:pPr>
      <w:r>
        <w:rPr>
          <w:rFonts w:hint="eastAsia"/>
          <w:color w:val="auto"/>
          <w:highlight w:val="none"/>
        </w:rPr>
        <w:t>发包人、监理人对材料和工程设备的检验认可并不免除以后因材料和工程设备缺陷引起工程质量缺陷时承包人应承担的责任。</w:t>
      </w:r>
    </w:p>
    <w:p>
      <w:pPr>
        <w:pStyle w:val="7"/>
        <w:numPr>
          <w:ilvl w:val="2"/>
          <w:numId w:val="6"/>
        </w:numPr>
        <w:ind w:left="0" w:firstLine="420" w:firstLineChars="200"/>
        <w:rPr>
          <w:color w:val="auto"/>
          <w:highlight w:val="none"/>
        </w:rPr>
      </w:pPr>
      <w:r>
        <w:rPr>
          <w:rFonts w:hint="eastAsia"/>
          <w:color w:val="auto"/>
          <w:highlight w:val="none"/>
        </w:rPr>
        <w:t>如果材料和工程设备的供应厂商提供使用、安装指导或其他售后服务的，承包人必须在施工过程中接受指导和监督、接受售后服务以确保材料和工程设备获得供应厂家质量保证，否则发包人有权要求承包人全部重新更换、返工或核减工程价款，造成工期延迟的，承包人应当承担工期违约责任。</w:t>
      </w:r>
    </w:p>
    <w:p>
      <w:pPr>
        <w:pStyle w:val="7"/>
        <w:numPr>
          <w:ilvl w:val="2"/>
          <w:numId w:val="6"/>
        </w:numPr>
        <w:ind w:left="0" w:firstLine="420" w:firstLineChars="200"/>
        <w:rPr>
          <w:color w:val="auto"/>
          <w:highlight w:val="none"/>
        </w:rPr>
      </w:pPr>
      <w:r>
        <w:rPr>
          <w:rFonts w:hint="eastAsia"/>
          <w:color w:val="auto"/>
          <w:highlight w:val="none"/>
        </w:rPr>
        <w:t>承包人提供备品备件的要求在专用条款里说明。</w:t>
      </w:r>
    </w:p>
    <w:p>
      <w:pPr>
        <w:pStyle w:val="6"/>
        <w:numPr>
          <w:ilvl w:val="1"/>
          <w:numId w:val="6"/>
        </w:numPr>
        <w:ind w:left="0" w:firstLine="422" w:firstLineChars="200"/>
        <w:rPr>
          <w:color w:val="auto"/>
          <w:highlight w:val="none"/>
        </w:rPr>
      </w:pPr>
      <w:r>
        <w:rPr>
          <w:rFonts w:hint="eastAsia"/>
          <w:color w:val="auto"/>
          <w:highlight w:val="none"/>
        </w:rPr>
        <w:t>发包人提供的材料和工程设备</w:t>
      </w:r>
    </w:p>
    <w:p>
      <w:pPr>
        <w:pStyle w:val="7"/>
        <w:numPr>
          <w:ilvl w:val="2"/>
          <w:numId w:val="6"/>
        </w:numPr>
        <w:ind w:left="0" w:firstLine="420" w:firstLineChars="200"/>
        <w:rPr>
          <w:color w:val="auto"/>
          <w:highlight w:val="none"/>
        </w:rPr>
      </w:pPr>
      <w:r>
        <w:rPr>
          <w:rFonts w:hint="eastAsia"/>
          <w:color w:val="auto"/>
          <w:highlight w:val="none"/>
        </w:rPr>
        <w:t>发包人提供的材料和工程设备，在专用条款中约定。</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承包人应根据合同进度计划的安排，向监理人报送要求发包人交货的日期计划。发包人应按照监理人与合同当事人双方商定的交货日期，向承包人提交材料和工程设备。</w:t>
      </w:r>
    </w:p>
    <w:p>
      <w:pPr>
        <w:pStyle w:val="7"/>
        <w:numPr>
          <w:ilvl w:val="2"/>
          <w:numId w:val="6"/>
        </w:numPr>
        <w:ind w:left="0" w:firstLine="420" w:firstLineChars="200"/>
        <w:rPr>
          <w:color w:val="auto"/>
          <w:highlight w:val="none"/>
        </w:rPr>
      </w:pPr>
      <w:r>
        <w:rPr>
          <w:rFonts w:hint="eastAsia"/>
          <w:color w:val="auto"/>
          <w:highlight w:val="none"/>
        </w:rPr>
        <w:t xml:space="preserve">承包人有义务在每项甲供材料和工程设备进场前按专用条款的约定提前书面通知发包人组织甲供材料和工程设备进场，材料和工程设备进场时,承包人应会同发包人、监理人共同进行验收,否则，由此产生的工期损失由承包人自行承担。 </w:t>
      </w:r>
    </w:p>
    <w:p>
      <w:pPr>
        <w:pStyle w:val="8"/>
        <w:numPr>
          <w:ilvl w:val="0"/>
          <w:numId w:val="28"/>
        </w:numPr>
        <w:ind w:left="0" w:firstLine="420" w:firstLineChars="200"/>
        <w:rPr>
          <w:color w:val="auto"/>
          <w:highlight w:val="none"/>
        </w:rPr>
      </w:pPr>
      <w:r>
        <w:rPr>
          <w:rFonts w:hint="eastAsia"/>
          <w:color w:val="auto"/>
          <w:highlight w:val="none"/>
        </w:rPr>
        <w:t>验收合格，由发包人填写《材料设备进场验收单》，同时发包人与监理人、供方单位、承包人签《材料设备收货单》和《材料设备领料单》。《材料设备收货单》和《材料设备领料单》一式四联，发包人两联，承包人、供方单位各执一联。甲供材料设备供应结束后由供方单位按经承包人签字的《材料设备收货单》和《材料设备领料单》编制甲供材料设备汇总表，并经承包人签字并盖章。此汇总表及《材料设备收货单》、《材料设备领料单》做为合同当事人双方结算的依据。如承包人无理由拒绝在甲供材料、设备供应单位编制的甲供材料设备汇总表上签字并盖章，发包人则以甲供材料、设备供应单位编制的甲供材料设备汇总表及《材料设备收货单》、《材料设备领料单》作为合同当事人双方结算的依据。</w:t>
      </w:r>
    </w:p>
    <w:p>
      <w:pPr>
        <w:pStyle w:val="8"/>
        <w:numPr>
          <w:ilvl w:val="0"/>
          <w:numId w:val="28"/>
        </w:numPr>
        <w:ind w:left="0" w:firstLine="420" w:firstLineChars="200"/>
        <w:rPr>
          <w:color w:val="auto"/>
          <w:highlight w:val="none"/>
        </w:rPr>
      </w:pPr>
      <w:r>
        <w:rPr>
          <w:rFonts w:hint="eastAsia"/>
          <w:color w:val="auto"/>
          <w:highlight w:val="none"/>
        </w:rPr>
        <w:t>承包人应在收到供应单位供应的材料和工程设备24小时内开箱验收（如供货合同有约定验收时间的，以供货合同约定的验收时间为准），遇有破损或不合规格的，须即日通知发包人安排替换。验收后的损坏、遗失由承包人负责。如承包人未及时到场清点并检验或试验，且已经超过供货合同约定的验收时间，视为承包人已经清点并检验或试验完毕，并认可货物数量、规格型号、外观质量等，承包人对其承担全部责任。</w:t>
      </w:r>
    </w:p>
    <w:p>
      <w:pPr>
        <w:pStyle w:val="8"/>
        <w:numPr>
          <w:ilvl w:val="0"/>
          <w:numId w:val="28"/>
        </w:numPr>
        <w:ind w:left="0" w:firstLine="420" w:firstLineChars="200"/>
        <w:rPr>
          <w:color w:val="auto"/>
          <w:highlight w:val="none"/>
        </w:rPr>
      </w:pPr>
      <w:r>
        <w:rPr>
          <w:rFonts w:hint="eastAsia"/>
          <w:color w:val="auto"/>
          <w:highlight w:val="none"/>
        </w:rPr>
        <w:t>承包人完全知悉并认可：承包人在施工过程中不得以材料和工程设备存在质量瑕疵为由，而减免自身应承担的责任。另外约定，如果没有按照国家或地方相关规定履行进场后的检验检测而导致的质量问题，承包人担负全部责任。</w:t>
      </w:r>
    </w:p>
    <w:p>
      <w:pPr>
        <w:pStyle w:val="8"/>
        <w:numPr>
          <w:ilvl w:val="0"/>
          <w:numId w:val="28"/>
        </w:numPr>
        <w:ind w:left="0" w:firstLine="420" w:firstLineChars="200"/>
        <w:rPr>
          <w:color w:val="auto"/>
          <w:highlight w:val="none"/>
        </w:rPr>
      </w:pPr>
      <w:r>
        <w:rPr>
          <w:rFonts w:hint="eastAsia"/>
          <w:color w:val="auto"/>
          <w:highlight w:val="none"/>
        </w:rPr>
        <w:t>发包人提供的材料和工程设备验收后，由承包人负责接收、运输、仓储和保管，除专用条款另有约定外,所发生费用均由承包人承担。</w:t>
      </w:r>
    </w:p>
    <w:p>
      <w:pPr>
        <w:pStyle w:val="8"/>
        <w:numPr>
          <w:ilvl w:val="0"/>
          <w:numId w:val="28"/>
        </w:numPr>
        <w:ind w:left="0" w:firstLine="420" w:firstLineChars="200"/>
        <w:rPr>
          <w:color w:val="auto"/>
          <w:highlight w:val="none"/>
        </w:rPr>
      </w:pPr>
      <w:r>
        <w:rPr>
          <w:rFonts w:hint="eastAsia"/>
          <w:color w:val="auto"/>
          <w:highlight w:val="none"/>
        </w:rPr>
        <w:t>另有约定的在专用条款里写明。</w:t>
      </w:r>
    </w:p>
    <w:p>
      <w:pPr>
        <w:pStyle w:val="7"/>
        <w:numPr>
          <w:ilvl w:val="2"/>
          <w:numId w:val="6"/>
        </w:numPr>
        <w:ind w:left="0" w:firstLine="420" w:firstLineChars="200"/>
        <w:rPr>
          <w:color w:val="auto"/>
          <w:highlight w:val="none"/>
        </w:rPr>
      </w:pPr>
      <w:r>
        <w:rPr>
          <w:rFonts w:hint="eastAsia"/>
          <w:color w:val="auto"/>
          <w:highlight w:val="none"/>
        </w:rPr>
        <w:t>发包人要求向承包人提前交货的，承包人不得拒绝。承包人要求更改交货日期或地点的，应事先报请监理人批准。由于承包人要求更改交货时间或地点所增加的费用和（或）工期延误由承包人承担。</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发包人提供的材料设备使用前，由承包人负责检验或试验，不合格的不得使用，检验或试验费用由承包人承担。</w:t>
      </w:r>
    </w:p>
    <w:p>
      <w:pPr>
        <w:pStyle w:val="7"/>
        <w:numPr>
          <w:ilvl w:val="2"/>
          <w:numId w:val="6"/>
        </w:numPr>
        <w:ind w:left="0" w:firstLine="420" w:firstLineChars="200"/>
        <w:rPr>
          <w:color w:val="auto"/>
          <w:highlight w:val="none"/>
        </w:rPr>
      </w:pPr>
      <w:r>
        <w:rPr>
          <w:rFonts w:hint="eastAsia"/>
          <w:color w:val="auto"/>
          <w:highlight w:val="none"/>
        </w:rPr>
        <w:t>发包人提供的材料设备的结算方法在专用条款中说明。</w:t>
      </w:r>
    </w:p>
    <w:p>
      <w:pPr>
        <w:pStyle w:val="7"/>
        <w:numPr>
          <w:ilvl w:val="2"/>
          <w:numId w:val="6"/>
        </w:numPr>
        <w:ind w:left="0" w:firstLine="420" w:firstLineChars="200"/>
        <w:rPr>
          <w:color w:val="auto"/>
          <w:highlight w:val="none"/>
        </w:rPr>
      </w:pPr>
      <w:r>
        <w:rPr>
          <w:rFonts w:hint="eastAsia"/>
          <w:color w:val="auto"/>
          <w:highlight w:val="none"/>
        </w:rPr>
        <w:t>发包人提供的材料和工程设备应送到工地地面层承包人指定地点，指定地点在专用条款中说明。</w:t>
      </w:r>
    </w:p>
    <w:p>
      <w:pPr>
        <w:pStyle w:val="6"/>
        <w:numPr>
          <w:ilvl w:val="1"/>
          <w:numId w:val="6"/>
        </w:numPr>
        <w:ind w:left="0" w:firstLine="422" w:firstLineChars="200"/>
        <w:rPr>
          <w:color w:val="auto"/>
          <w:highlight w:val="none"/>
        </w:rPr>
      </w:pPr>
      <w:r>
        <w:rPr>
          <w:rFonts w:hint="eastAsia"/>
          <w:color w:val="auto"/>
          <w:highlight w:val="none"/>
        </w:rPr>
        <w:t>材料和工程设备专用于合同工程</w:t>
      </w:r>
    </w:p>
    <w:p>
      <w:pPr>
        <w:pStyle w:val="7"/>
        <w:numPr>
          <w:ilvl w:val="2"/>
          <w:numId w:val="6"/>
        </w:numPr>
        <w:ind w:left="0" w:firstLine="420" w:firstLineChars="200"/>
        <w:rPr>
          <w:color w:val="auto"/>
          <w:highlight w:val="none"/>
        </w:rPr>
      </w:pPr>
      <w:r>
        <w:rPr>
          <w:rFonts w:hint="eastAsia"/>
          <w:color w:val="auto"/>
          <w:highlight w:val="none"/>
        </w:rPr>
        <w:t>运入施工场地的材料、工程设备，包括备品备件、安装专用工器具与随机资料，必须专用于合同工程，未经监理人及发包人同意，承包人不得运出施工场地或挪作他用。</w:t>
      </w:r>
    </w:p>
    <w:p>
      <w:pPr>
        <w:pStyle w:val="7"/>
        <w:numPr>
          <w:ilvl w:val="2"/>
          <w:numId w:val="6"/>
        </w:numPr>
        <w:ind w:left="0" w:firstLine="420" w:firstLineChars="200"/>
        <w:rPr>
          <w:color w:val="auto"/>
          <w:highlight w:val="none"/>
        </w:rPr>
      </w:pPr>
      <w:r>
        <w:rPr>
          <w:rFonts w:hint="eastAsia"/>
          <w:color w:val="auto"/>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
        <w:numPr>
          <w:ilvl w:val="1"/>
          <w:numId w:val="6"/>
        </w:numPr>
        <w:ind w:left="0" w:firstLine="422" w:firstLineChars="200"/>
        <w:rPr>
          <w:color w:val="auto"/>
          <w:highlight w:val="none"/>
        </w:rPr>
      </w:pPr>
      <w:r>
        <w:rPr>
          <w:rFonts w:hint="eastAsia"/>
          <w:color w:val="auto"/>
          <w:highlight w:val="none"/>
        </w:rPr>
        <w:t>禁止使用不合格的材料和工程设备</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监理人有权拒绝承包人提供的不合格材料或工程设备，并要求承包人立即进行更换。监理人应在更换后再次进行检查和检验，由此增加的费用和（或）工期延误由承包人承担，如果因此给发包人造成损失，承包人应当全额赔偿。</w:t>
      </w:r>
    </w:p>
    <w:p>
      <w:pPr>
        <w:pStyle w:val="7"/>
        <w:numPr>
          <w:ilvl w:val="2"/>
          <w:numId w:val="6"/>
        </w:numPr>
        <w:ind w:left="0" w:firstLine="420" w:firstLineChars="200"/>
        <w:rPr>
          <w:color w:val="auto"/>
          <w:highlight w:val="none"/>
        </w:rPr>
      </w:pPr>
      <w:r>
        <w:rPr>
          <w:rFonts w:hint="eastAsia"/>
          <w:color w:val="auto"/>
          <w:highlight w:val="none"/>
        </w:rPr>
        <w:t>如果任何检验表明被检验的材料、工程设备、工艺质量或工程不符合合同文件的约定，则发包人或监理人有权指令承包人：</w:t>
      </w:r>
    </w:p>
    <w:p>
      <w:pPr>
        <w:pStyle w:val="8"/>
        <w:numPr>
          <w:ilvl w:val="0"/>
          <w:numId w:val="29"/>
        </w:numPr>
        <w:rPr>
          <w:color w:val="auto"/>
          <w:highlight w:val="none"/>
        </w:rPr>
      </w:pPr>
      <w:r>
        <w:rPr>
          <w:rFonts w:hint="eastAsia"/>
          <w:color w:val="auto"/>
          <w:highlight w:val="none"/>
        </w:rPr>
        <w:t>在指令规定的时间内将不符合合同文件约定的任何材料或工程设备运出现场；</w:t>
      </w:r>
    </w:p>
    <w:p>
      <w:pPr>
        <w:pStyle w:val="8"/>
        <w:numPr>
          <w:ilvl w:val="0"/>
          <w:numId w:val="25"/>
        </w:numPr>
        <w:rPr>
          <w:color w:val="auto"/>
          <w:highlight w:val="none"/>
        </w:rPr>
      </w:pPr>
      <w:r>
        <w:rPr>
          <w:rFonts w:hint="eastAsia"/>
          <w:color w:val="auto"/>
          <w:highlight w:val="none"/>
        </w:rPr>
        <w:t>用符合合同文件约定的材料或工程设备取代；</w:t>
      </w:r>
    </w:p>
    <w:p>
      <w:pPr>
        <w:pStyle w:val="8"/>
        <w:numPr>
          <w:ilvl w:val="0"/>
          <w:numId w:val="25"/>
        </w:numPr>
        <w:rPr>
          <w:color w:val="auto"/>
          <w:highlight w:val="none"/>
        </w:rPr>
      </w:pPr>
      <w:r>
        <w:rPr>
          <w:rFonts w:hint="eastAsia"/>
          <w:color w:val="auto"/>
          <w:highlight w:val="none"/>
        </w:rPr>
        <w:t>拆除不符合合同文件约定的任何工程，并进行重新施工。</w:t>
      </w:r>
    </w:p>
    <w:p>
      <w:pPr>
        <w:pStyle w:val="7"/>
        <w:numPr>
          <w:ilvl w:val="2"/>
          <w:numId w:val="6"/>
        </w:numPr>
        <w:ind w:left="0" w:firstLine="420" w:firstLineChars="200"/>
        <w:rPr>
          <w:color w:val="auto"/>
          <w:highlight w:val="none"/>
        </w:rPr>
      </w:pPr>
      <w:r>
        <w:rPr>
          <w:rFonts w:hint="eastAsia"/>
          <w:color w:val="auto"/>
          <w:highlight w:val="none"/>
        </w:rPr>
        <w:t>如果承包人未能在指令规定的时间或者在指令中未规定时间的情况下未能在合理的时间内执行上述指令，则发包人有权委托他人执行该项指令，由此发生的费用以及给发包人造成的损失由发包人从工程款中予以扣除。</w:t>
      </w:r>
    </w:p>
    <w:p>
      <w:pPr>
        <w:pStyle w:val="6"/>
        <w:numPr>
          <w:ilvl w:val="1"/>
          <w:numId w:val="6"/>
        </w:numPr>
        <w:ind w:left="0" w:firstLine="422" w:firstLineChars="200"/>
        <w:rPr>
          <w:color w:val="auto"/>
          <w:highlight w:val="none"/>
        </w:rPr>
      </w:pPr>
      <w:r>
        <w:rPr>
          <w:rFonts w:hint="eastAsia"/>
          <w:color w:val="auto"/>
          <w:highlight w:val="none"/>
        </w:rPr>
        <w:t>进口材料和工程设备</w:t>
      </w:r>
    </w:p>
    <w:p>
      <w:pPr>
        <w:pStyle w:val="7"/>
        <w:numPr>
          <w:ilvl w:val="2"/>
          <w:numId w:val="6"/>
        </w:numPr>
        <w:ind w:left="0" w:firstLine="420" w:firstLineChars="200"/>
        <w:rPr>
          <w:color w:val="auto"/>
          <w:highlight w:val="none"/>
        </w:rPr>
      </w:pPr>
      <w:r>
        <w:rPr>
          <w:rFonts w:hint="eastAsia"/>
          <w:color w:val="auto"/>
          <w:highlight w:val="none"/>
        </w:rPr>
        <w:t>如承包人提供任何从国（境）外进口的材料和工程设备，此类材料和工程设备的价值以及与此类进口有关的任何关税（如有）、增值税、港口税费、运费、手续费、代理费、采保费及其他任何必要的费用已包含在承包人的合同暂定总价中，发包人无需另行支付；发包人有义务协助承包人办理相关手续，但不承担任何责任和费用。承包人应向发包人和监理人提供相关的产品原产地发出的质量合格证明资料、报关单及商检资料。</w:t>
      </w:r>
    </w:p>
    <w:p>
      <w:pPr>
        <w:pStyle w:val="5"/>
        <w:numPr>
          <w:ilvl w:val="0"/>
          <w:numId w:val="6"/>
        </w:numPr>
        <w:ind w:left="0" w:firstLine="562" w:firstLineChars="200"/>
        <w:rPr>
          <w:color w:val="auto"/>
          <w:highlight w:val="none"/>
        </w:rPr>
      </w:pPr>
      <w:bookmarkStart w:id="58" w:name="_Toc464649539"/>
      <w:bookmarkStart w:id="59" w:name="_Toc33448379"/>
      <w:bookmarkStart w:id="60" w:name="_Toc33445874"/>
      <w:bookmarkStart w:id="61" w:name="_Toc12615"/>
      <w:bookmarkStart w:id="62" w:name="_Toc133502174"/>
      <w:bookmarkStart w:id="63" w:name="_Toc33092162"/>
      <w:bookmarkStart w:id="64" w:name="_Toc33448450"/>
      <w:bookmarkStart w:id="65" w:name="_Toc33446052"/>
      <w:bookmarkStart w:id="66" w:name="_Toc33445949"/>
      <w:r>
        <w:rPr>
          <w:rFonts w:hint="eastAsia"/>
          <w:color w:val="auto"/>
          <w:highlight w:val="none"/>
        </w:rPr>
        <w:t>施工设备和临时设施</w:t>
      </w:r>
      <w:bookmarkEnd w:id="58"/>
      <w:bookmarkEnd w:id="59"/>
      <w:bookmarkEnd w:id="60"/>
      <w:bookmarkEnd w:id="61"/>
      <w:bookmarkEnd w:id="62"/>
      <w:bookmarkEnd w:id="63"/>
      <w:bookmarkEnd w:id="64"/>
      <w:bookmarkEnd w:id="65"/>
      <w:bookmarkEnd w:id="66"/>
    </w:p>
    <w:p>
      <w:pPr>
        <w:pStyle w:val="6"/>
        <w:numPr>
          <w:ilvl w:val="1"/>
          <w:numId w:val="6"/>
        </w:numPr>
        <w:ind w:left="0" w:firstLine="422" w:firstLineChars="200"/>
        <w:rPr>
          <w:color w:val="auto"/>
          <w:highlight w:val="none"/>
        </w:rPr>
      </w:pPr>
      <w:r>
        <w:rPr>
          <w:rFonts w:hint="eastAsia"/>
          <w:color w:val="auto"/>
          <w:highlight w:val="none"/>
        </w:rPr>
        <w:t>承包人提供的施工设备和临时设施</w:t>
      </w:r>
    </w:p>
    <w:p>
      <w:pPr>
        <w:pStyle w:val="7"/>
        <w:numPr>
          <w:ilvl w:val="2"/>
          <w:numId w:val="6"/>
        </w:numPr>
        <w:ind w:left="0" w:firstLine="420" w:firstLineChars="200"/>
        <w:rPr>
          <w:color w:val="auto"/>
          <w:highlight w:val="none"/>
        </w:rPr>
      </w:pPr>
      <w:r>
        <w:rPr>
          <w:rFonts w:hint="eastAsia"/>
          <w:color w:val="auto"/>
          <w:highlight w:val="none"/>
        </w:rPr>
        <w:t>承包人应按合同进度计划的要求，及时配置施工设备和修建临时设施。承包人应自行承担修建临时设施的费用。进入施工场地的承包人设备需经监理人核查后才能投入使用。承包人更换合同约定的承包人设备的，应报监理人批准。</w:t>
      </w:r>
    </w:p>
    <w:p>
      <w:pPr>
        <w:pStyle w:val="7"/>
        <w:numPr>
          <w:ilvl w:val="2"/>
          <w:numId w:val="6"/>
        </w:numPr>
        <w:ind w:left="0" w:firstLine="420" w:firstLineChars="200"/>
        <w:rPr>
          <w:color w:val="auto"/>
          <w:highlight w:val="none"/>
        </w:rPr>
      </w:pPr>
      <w:r>
        <w:rPr>
          <w:rFonts w:hint="eastAsia"/>
          <w:color w:val="auto"/>
          <w:highlight w:val="none"/>
        </w:rPr>
        <w:t>承包人提供的施工设备和临时设施的具体内容在专用条款中说明。</w:t>
      </w:r>
    </w:p>
    <w:p>
      <w:pPr>
        <w:pStyle w:val="6"/>
        <w:numPr>
          <w:ilvl w:val="1"/>
          <w:numId w:val="6"/>
        </w:numPr>
        <w:ind w:left="0" w:firstLine="422" w:firstLineChars="200"/>
        <w:rPr>
          <w:color w:val="auto"/>
          <w:highlight w:val="none"/>
        </w:rPr>
      </w:pPr>
      <w:r>
        <w:rPr>
          <w:rFonts w:hint="eastAsia"/>
          <w:color w:val="auto"/>
          <w:highlight w:val="none"/>
        </w:rPr>
        <w:t>发包人提供的施工设备和临时设施</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发包人提供的施工设备或临时设施在专用条款中说明。</w:t>
      </w:r>
    </w:p>
    <w:p>
      <w:pPr>
        <w:pStyle w:val="6"/>
        <w:numPr>
          <w:ilvl w:val="1"/>
          <w:numId w:val="6"/>
        </w:numPr>
        <w:ind w:left="0" w:firstLine="422" w:firstLineChars="200"/>
        <w:rPr>
          <w:color w:val="auto"/>
          <w:highlight w:val="none"/>
        </w:rPr>
      </w:pPr>
      <w:r>
        <w:rPr>
          <w:rFonts w:hint="eastAsia"/>
          <w:color w:val="auto"/>
          <w:highlight w:val="none"/>
        </w:rPr>
        <w:t>要求承包人增加或更换施工设备</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使用的施工设备不能满足合同进度计划和（或）质量要求时，监理人有权要求承包人增加或更换施工设备，承包人应及时增加或更换，由此增加的费用和（或）工期延误由承包人承担，如果因此给发包人造成损失，承包人应当全额赔偿。</w:t>
      </w:r>
    </w:p>
    <w:p>
      <w:pPr>
        <w:pStyle w:val="6"/>
        <w:numPr>
          <w:ilvl w:val="1"/>
          <w:numId w:val="6"/>
        </w:numPr>
        <w:ind w:left="0" w:firstLine="422" w:firstLineChars="200"/>
        <w:rPr>
          <w:color w:val="auto"/>
          <w:highlight w:val="none"/>
        </w:rPr>
      </w:pPr>
      <w:r>
        <w:rPr>
          <w:rFonts w:hint="eastAsia"/>
          <w:color w:val="auto"/>
          <w:highlight w:val="none"/>
        </w:rPr>
        <w:t>施工设备和临时设施专用于合同工程</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运入施工场地的所有施工设备以及在施工场地建设的临时设施应专用于合同工程。未经监理人同意，不得将上述施工设备和临时设施中的任何部分运出施工场地或挪作他用。</w:t>
      </w:r>
    </w:p>
    <w:p>
      <w:pPr>
        <w:pStyle w:val="7"/>
        <w:numPr>
          <w:ilvl w:val="2"/>
          <w:numId w:val="6"/>
        </w:numPr>
        <w:ind w:left="0" w:firstLine="420" w:firstLineChars="200"/>
        <w:rPr>
          <w:color w:val="auto"/>
          <w:highlight w:val="none"/>
        </w:rPr>
      </w:pPr>
      <w:r>
        <w:rPr>
          <w:rFonts w:hint="eastAsia"/>
          <w:color w:val="auto"/>
          <w:highlight w:val="none"/>
        </w:rPr>
        <w:t>经监理人同意，承包人可根据合同进度计划撤走闲置的施工设备。</w:t>
      </w:r>
    </w:p>
    <w:p>
      <w:pPr>
        <w:pStyle w:val="5"/>
        <w:numPr>
          <w:ilvl w:val="0"/>
          <w:numId w:val="6"/>
        </w:numPr>
        <w:ind w:left="0" w:firstLine="562" w:firstLineChars="200"/>
        <w:rPr>
          <w:color w:val="auto"/>
          <w:highlight w:val="none"/>
        </w:rPr>
      </w:pPr>
      <w:bookmarkStart w:id="67" w:name="_Toc133502175"/>
      <w:bookmarkStart w:id="68" w:name="_Toc33092163"/>
      <w:bookmarkStart w:id="69" w:name="_Toc33448380"/>
      <w:bookmarkStart w:id="70" w:name="_Toc33445950"/>
      <w:bookmarkStart w:id="71" w:name="_Toc464649540"/>
      <w:bookmarkStart w:id="72" w:name="_Toc33446053"/>
      <w:bookmarkStart w:id="73" w:name="_Toc33448451"/>
      <w:bookmarkStart w:id="74" w:name="_Toc33445875"/>
      <w:bookmarkStart w:id="75" w:name="_Toc27095"/>
      <w:r>
        <w:rPr>
          <w:rFonts w:hint="eastAsia"/>
          <w:color w:val="auto"/>
          <w:highlight w:val="none"/>
        </w:rPr>
        <w:t>交通运输</w:t>
      </w:r>
      <w:bookmarkEnd w:id="67"/>
      <w:bookmarkEnd w:id="68"/>
      <w:bookmarkEnd w:id="69"/>
      <w:bookmarkEnd w:id="70"/>
      <w:bookmarkEnd w:id="71"/>
      <w:bookmarkEnd w:id="72"/>
      <w:bookmarkEnd w:id="73"/>
      <w:bookmarkEnd w:id="74"/>
      <w:bookmarkEnd w:id="75"/>
    </w:p>
    <w:p>
      <w:pPr>
        <w:pStyle w:val="6"/>
        <w:numPr>
          <w:ilvl w:val="1"/>
          <w:numId w:val="6"/>
        </w:numPr>
        <w:ind w:left="0" w:firstLine="422" w:firstLineChars="200"/>
        <w:rPr>
          <w:color w:val="auto"/>
          <w:highlight w:val="none"/>
        </w:rPr>
      </w:pPr>
      <w:r>
        <w:rPr>
          <w:rFonts w:hint="eastAsia"/>
          <w:color w:val="auto"/>
          <w:highlight w:val="none"/>
        </w:rPr>
        <w:t>场外交通</w:t>
      </w:r>
    </w:p>
    <w:p>
      <w:pPr>
        <w:pStyle w:val="7"/>
        <w:numPr>
          <w:ilvl w:val="2"/>
          <w:numId w:val="6"/>
        </w:numPr>
        <w:ind w:left="0" w:firstLine="420" w:firstLineChars="200"/>
        <w:rPr>
          <w:color w:val="auto"/>
          <w:highlight w:val="none"/>
        </w:rPr>
      </w:pPr>
      <w:r>
        <w:rPr>
          <w:rFonts w:hint="eastAsia"/>
          <w:color w:val="auto"/>
          <w:highlight w:val="none"/>
        </w:rPr>
        <w:t>承包人须保证所有现场周边毗邻的道路、步行道和现场出入口及周边公共交通、公众生活不因承包人和其他受承包人控制和施工操作、材料装卸、车辆、材料、物品、设备和工人而带来任何妨碍；承包人须保证发包人免于与上述事件有关的任何索赔、诉讼、损害和损失。</w:t>
      </w:r>
    </w:p>
    <w:p>
      <w:pPr>
        <w:pStyle w:val="6"/>
        <w:numPr>
          <w:ilvl w:val="1"/>
          <w:numId w:val="6"/>
        </w:numPr>
        <w:ind w:left="0" w:firstLine="422" w:firstLineChars="200"/>
        <w:rPr>
          <w:color w:val="auto"/>
          <w:highlight w:val="none"/>
        </w:rPr>
      </w:pPr>
      <w:r>
        <w:rPr>
          <w:rFonts w:hint="eastAsia"/>
          <w:color w:val="auto"/>
          <w:highlight w:val="none"/>
        </w:rPr>
        <w:t>道路和桥梁的损坏责任</w:t>
      </w:r>
    </w:p>
    <w:p>
      <w:pPr>
        <w:pStyle w:val="7"/>
        <w:numPr>
          <w:ilvl w:val="2"/>
          <w:numId w:val="6"/>
        </w:numPr>
        <w:ind w:left="0" w:firstLine="420" w:firstLineChars="200"/>
        <w:rPr>
          <w:color w:val="auto"/>
          <w:highlight w:val="none"/>
        </w:rPr>
      </w:pPr>
      <w:r>
        <w:rPr>
          <w:rFonts w:hint="eastAsia"/>
          <w:color w:val="auto"/>
          <w:highlight w:val="none"/>
        </w:rPr>
        <w:t>因承包人运输造成施工场地内外公共道路和桥梁损坏的，由承包人承担修复损坏的全部费用和可能引起的赔偿。</w:t>
      </w:r>
    </w:p>
    <w:p>
      <w:pPr>
        <w:pStyle w:val="5"/>
        <w:numPr>
          <w:ilvl w:val="0"/>
          <w:numId w:val="6"/>
        </w:numPr>
        <w:ind w:left="0" w:firstLine="562" w:firstLineChars="200"/>
        <w:rPr>
          <w:color w:val="auto"/>
          <w:highlight w:val="none"/>
        </w:rPr>
      </w:pPr>
      <w:bookmarkStart w:id="76" w:name="_Toc33448381"/>
      <w:bookmarkStart w:id="77" w:name="_Toc33445876"/>
      <w:bookmarkStart w:id="78" w:name="_Toc33448452"/>
      <w:bookmarkStart w:id="79" w:name="_Toc33092164"/>
      <w:bookmarkStart w:id="80" w:name="_Toc33445951"/>
      <w:bookmarkStart w:id="81" w:name="_Toc21552"/>
      <w:bookmarkStart w:id="82" w:name="_Toc464649541"/>
      <w:bookmarkStart w:id="83" w:name="_Toc133502176"/>
      <w:bookmarkStart w:id="84" w:name="_Toc33446054"/>
      <w:r>
        <w:rPr>
          <w:rFonts w:hint="eastAsia"/>
          <w:color w:val="auto"/>
          <w:highlight w:val="none"/>
        </w:rPr>
        <w:t>测量放线</w:t>
      </w:r>
      <w:bookmarkEnd w:id="76"/>
      <w:bookmarkEnd w:id="77"/>
      <w:bookmarkEnd w:id="78"/>
      <w:bookmarkEnd w:id="79"/>
      <w:bookmarkEnd w:id="80"/>
      <w:bookmarkEnd w:id="81"/>
      <w:bookmarkEnd w:id="82"/>
      <w:bookmarkEnd w:id="83"/>
      <w:bookmarkEnd w:id="84"/>
    </w:p>
    <w:p>
      <w:pPr>
        <w:pStyle w:val="6"/>
        <w:numPr>
          <w:ilvl w:val="1"/>
          <w:numId w:val="6"/>
        </w:numPr>
        <w:ind w:left="0" w:firstLine="422" w:firstLineChars="200"/>
        <w:rPr>
          <w:color w:val="auto"/>
          <w:highlight w:val="none"/>
        </w:rPr>
      </w:pPr>
      <w:r>
        <w:rPr>
          <w:rFonts w:hint="eastAsia"/>
          <w:color w:val="auto"/>
          <w:highlight w:val="none"/>
        </w:rPr>
        <w:t>施工测量</w:t>
      </w:r>
    </w:p>
    <w:p>
      <w:pPr>
        <w:pStyle w:val="7"/>
        <w:numPr>
          <w:ilvl w:val="2"/>
          <w:numId w:val="6"/>
        </w:numPr>
        <w:ind w:left="0" w:firstLine="420" w:firstLineChars="200"/>
        <w:rPr>
          <w:color w:val="auto"/>
          <w:highlight w:val="none"/>
        </w:rPr>
      </w:pPr>
      <w:r>
        <w:rPr>
          <w:rFonts w:hint="eastAsia"/>
          <w:color w:val="auto"/>
          <w:highlight w:val="none"/>
        </w:rPr>
        <w:t>承包人应负责施工过程中的全部施工测量放线工作，并配置合格的人员、仪器、设备和其他物品。</w:t>
      </w:r>
    </w:p>
    <w:p>
      <w:pPr>
        <w:pStyle w:val="7"/>
        <w:numPr>
          <w:ilvl w:val="2"/>
          <w:numId w:val="6"/>
        </w:numPr>
        <w:ind w:left="0" w:firstLine="420" w:firstLineChars="200"/>
        <w:rPr>
          <w:color w:val="auto"/>
          <w:highlight w:val="none"/>
        </w:rPr>
      </w:pPr>
      <w:r>
        <w:rPr>
          <w:rFonts w:hint="eastAsia"/>
          <w:color w:val="auto"/>
          <w:highlight w:val="none"/>
        </w:rPr>
        <w:t>监理人可以指示承包人进行抽样复测，当复测中发现错误或出现超过合同约定的误差时，承包人应按监理人指示进行修正或补测，并承担相应的复测费用。</w:t>
      </w:r>
    </w:p>
    <w:p>
      <w:pPr>
        <w:pStyle w:val="5"/>
        <w:numPr>
          <w:ilvl w:val="0"/>
          <w:numId w:val="6"/>
        </w:numPr>
        <w:ind w:left="0" w:firstLine="562" w:firstLineChars="200"/>
        <w:rPr>
          <w:color w:val="auto"/>
          <w:highlight w:val="none"/>
        </w:rPr>
      </w:pPr>
      <w:bookmarkStart w:id="85" w:name="_Toc464649542"/>
      <w:bookmarkStart w:id="86" w:name="_Toc33445952"/>
      <w:bookmarkStart w:id="87" w:name="_Toc21629"/>
      <w:bookmarkStart w:id="88" w:name="_Toc33445877"/>
      <w:bookmarkStart w:id="89" w:name="_Toc33092165"/>
      <w:bookmarkStart w:id="90" w:name="_Toc33448382"/>
      <w:bookmarkStart w:id="91" w:name="_Toc33446055"/>
      <w:bookmarkStart w:id="92" w:name="_Toc33448453"/>
      <w:bookmarkStart w:id="93" w:name="_Toc133502177"/>
      <w:r>
        <w:rPr>
          <w:rFonts w:hint="eastAsia"/>
          <w:color w:val="auto"/>
          <w:highlight w:val="none"/>
        </w:rPr>
        <w:t>施工安全、治安保卫和环境保护</w:t>
      </w:r>
      <w:bookmarkEnd w:id="85"/>
      <w:bookmarkEnd w:id="86"/>
      <w:bookmarkEnd w:id="87"/>
      <w:bookmarkEnd w:id="88"/>
      <w:bookmarkEnd w:id="89"/>
      <w:bookmarkEnd w:id="90"/>
      <w:bookmarkEnd w:id="91"/>
      <w:bookmarkEnd w:id="92"/>
      <w:bookmarkEnd w:id="93"/>
    </w:p>
    <w:p>
      <w:pPr>
        <w:pStyle w:val="6"/>
        <w:numPr>
          <w:ilvl w:val="1"/>
          <w:numId w:val="6"/>
        </w:numPr>
        <w:ind w:left="0" w:firstLine="422" w:firstLineChars="200"/>
        <w:rPr>
          <w:color w:val="auto"/>
          <w:highlight w:val="none"/>
        </w:rPr>
      </w:pPr>
      <w:r>
        <w:rPr>
          <w:rFonts w:hint="eastAsia"/>
          <w:color w:val="auto"/>
          <w:highlight w:val="none"/>
        </w:rPr>
        <w:t>承包人的施工安全责任</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应遵守工程建设安全生产有关管理规定，严格按安全标准组织施工，并随时接受相关安全检查人员依法实施的监督检查，采取必要的安全防护措施，消除事故隐患。由于承包人安全措施不力造成事故的责任和因此发生的费用，由承包人承担。</w:t>
      </w:r>
    </w:p>
    <w:p>
      <w:pPr>
        <w:pStyle w:val="7"/>
        <w:numPr>
          <w:ilvl w:val="2"/>
          <w:numId w:val="6"/>
        </w:numPr>
        <w:ind w:left="0" w:firstLine="420" w:firstLineChars="200"/>
        <w:rPr>
          <w:color w:val="auto"/>
          <w:highlight w:val="none"/>
        </w:rPr>
      </w:pPr>
      <w:r>
        <w:rPr>
          <w:rFonts w:hint="eastAsia"/>
          <w:color w:val="auto"/>
          <w:highlight w:val="none"/>
        </w:rPr>
        <w:t>承包人应按合同约定履行安全职责,执行监理人有关安全工作的指示，按合同约定的安全工作内容，编制施工安全措施计划报送监理人审批。</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承包人应加强施工作业安全管理，特别应加强易燃、易爆材料、火工器材、有毒与腐蚀性材料和其他危险品的管理，以及对爆破作业和地下工程施工等危险作业的管理。</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承包人应严格按照国家安全标准制定施工安全操作规程，配备必要的安全生产和劳动保护设施，加强对承包人人员的安全教育，并发放安全工作手册和劳动保护用具。</w:t>
      </w:r>
    </w:p>
    <w:p>
      <w:pPr>
        <w:pStyle w:val="7"/>
        <w:numPr>
          <w:ilvl w:val="2"/>
          <w:numId w:val="6"/>
        </w:numPr>
        <w:ind w:left="0" w:firstLine="420" w:firstLineChars="200"/>
        <w:rPr>
          <w:color w:val="auto"/>
          <w:highlight w:val="none"/>
        </w:rPr>
      </w:pPr>
      <w:r>
        <w:rPr>
          <w:rFonts w:hint="eastAsia"/>
          <w:color w:val="auto"/>
          <w:highlight w:val="none"/>
        </w:rPr>
        <w:t>承包人应按监理人的指示制定应对灾害的紧急预案，报送监理人审批。承包人还应按预案做好安全检查，配置必要的救助物资和器材，切实保护好有关人员的人身和财产安全。</w:t>
      </w:r>
    </w:p>
    <w:p>
      <w:pPr>
        <w:pStyle w:val="7"/>
        <w:numPr>
          <w:ilvl w:val="2"/>
          <w:numId w:val="6"/>
        </w:numPr>
        <w:ind w:left="0" w:firstLine="420" w:firstLineChars="200"/>
        <w:rPr>
          <w:color w:val="auto"/>
          <w:highlight w:val="none"/>
        </w:rPr>
      </w:pPr>
      <w:r>
        <w:rPr>
          <w:rFonts w:hint="eastAsia"/>
          <w:color w:val="auto"/>
          <w:highlight w:val="none"/>
        </w:rPr>
        <w:t>合同约定的安全作业环境及安全施工措施所需费用应遵守有关规定，并包括在相关工作的合同暂定总价中。</w:t>
      </w:r>
    </w:p>
    <w:p>
      <w:pPr>
        <w:pStyle w:val="7"/>
        <w:numPr>
          <w:ilvl w:val="2"/>
          <w:numId w:val="6"/>
        </w:numPr>
        <w:ind w:left="0" w:firstLine="420" w:firstLineChars="200"/>
        <w:rPr>
          <w:color w:val="auto"/>
          <w:highlight w:val="none"/>
        </w:rPr>
      </w:pPr>
      <w:r>
        <w:rPr>
          <w:rFonts w:hint="eastAsia"/>
          <w:color w:val="auto"/>
          <w:highlight w:val="none"/>
        </w:rPr>
        <w:t>承包人应对其履行合同所雇佣的全部人员的工伤事故承担责任。</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由于承包人原因在施工场地内及其毗邻地带造成的第三者人员伤亡和财产损失，由承包人负责赔偿。</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承包人如违反安全操作规程，被行政执法部门处罚，由此产生的相关费用由承包人承担。若因此影响发包人声誉，发包人有权向承包人索赔。</w:t>
      </w:r>
    </w:p>
    <w:p>
      <w:pPr>
        <w:pStyle w:val="7"/>
        <w:numPr>
          <w:ilvl w:val="2"/>
          <w:numId w:val="6"/>
        </w:numPr>
        <w:ind w:left="0" w:firstLine="420" w:firstLineChars="200"/>
        <w:rPr>
          <w:color w:val="auto"/>
          <w:highlight w:val="none"/>
        </w:rPr>
      </w:pPr>
      <w:r>
        <w:rPr>
          <w:rFonts w:hint="eastAsia"/>
          <w:color w:val="auto"/>
          <w:highlight w:val="none"/>
        </w:rPr>
        <w:t>发包人或发包人代表可要求立刻撤走任何现场被认为未能适当地遵守安全施工规定的人员。而无论在任何情况下，此等被撤走的人员在未取得发包人的书面同意前，均不应再获受雇于现场工作。</w:t>
      </w:r>
    </w:p>
    <w:p>
      <w:pPr>
        <w:pStyle w:val="6"/>
        <w:numPr>
          <w:ilvl w:val="1"/>
          <w:numId w:val="6"/>
        </w:numPr>
        <w:ind w:left="0" w:firstLine="422" w:firstLineChars="200"/>
        <w:rPr>
          <w:color w:val="auto"/>
          <w:highlight w:val="none"/>
        </w:rPr>
      </w:pPr>
      <w:r>
        <w:rPr>
          <w:rFonts w:hint="eastAsia"/>
          <w:color w:val="auto"/>
          <w:highlight w:val="none"/>
        </w:rPr>
        <w:t>治安保卫</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承包人除应协助现场治安管理机构或联防组织维护施工场地的社会治安外，还应做好施工相关区域的治安保卫工作。</w:t>
      </w:r>
    </w:p>
    <w:p>
      <w:pPr>
        <w:pStyle w:val="7"/>
        <w:numPr>
          <w:ilvl w:val="2"/>
          <w:numId w:val="6"/>
        </w:numPr>
        <w:ind w:left="0" w:firstLine="420" w:firstLineChars="200"/>
        <w:rPr>
          <w:color w:val="auto"/>
          <w:highlight w:val="none"/>
        </w:rPr>
      </w:pPr>
      <w:r>
        <w:rPr>
          <w:rFonts w:hint="eastAsia"/>
          <w:color w:val="auto"/>
          <w:highlight w:val="none"/>
        </w:rPr>
        <w:t>在工程施工过程中，发生暴乱、爆炸等恐怖事件，以及群殴、械斗等群体性突发治安事件的，承包人应立即向当地政府报告。承包人应积极协助当地有关部门采取措施平息事态，防止事态扩大，尽量减少财产损失和避免人员伤亡。</w:t>
      </w:r>
    </w:p>
    <w:p>
      <w:pPr>
        <w:pStyle w:val="6"/>
        <w:numPr>
          <w:ilvl w:val="1"/>
          <w:numId w:val="6"/>
        </w:numPr>
        <w:ind w:left="0" w:firstLine="422" w:firstLineChars="200"/>
        <w:rPr>
          <w:color w:val="auto"/>
          <w:highlight w:val="none"/>
        </w:rPr>
      </w:pPr>
      <w:r>
        <w:rPr>
          <w:rFonts w:hint="eastAsia"/>
          <w:color w:val="auto"/>
          <w:highlight w:val="none"/>
        </w:rPr>
        <w:t>环境保护</w:t>
      </w:r>
    </w:p>
    <w:p>
      <w:pPr>
        <w:pStyle w:val="7"/>
        <w:numPr>
          <w:ilvl w:val="2"/>
          <w:numId w:val="6"/>
        </w:numPr>
        <w:ind w:left="0" w:firstLine="420" w:firstLineChars="200"/>
        <w:rPr>
          <w:color w:val="auto"/>
          <w:highlight w:val="none"/>
        </w:rPr>
      </w:pPr>
      <w:r>
        <w:rPr>
          <w:rFonts w:hint="eastAsia"/>
          <w:color w:val="auto"/>
          <w:highlight w:val="none"/>
        </w:rPr>
        <w:t>承包人在施工过程中，应遵守有关环境保护的法律，履行合同约定的环境保护义务，并对违反法律和合同约定义务所造成的环境破坏、人身伤害和财产损失负责。</w:t>
      </w:r>
    </w:p>
    <w:p>
      <w:pPr>
        <w:pStyle w:val="7"/>
        <w:numPr>
          <w:ilvl w:val="2"/>
          <w:numId w:val="6"/>
        </w:numPr>
        <w:ind w:left="0" w:firstLine="420" w:firstLineChars="200"/>
        <w:rPr>
          <w:color w:val="auto"/>
          <w:highlight w:val="none"/>
        </w:rPr>
      </w:pPr>
      <w:r>
        <w:rPr>
          <w:rFonts w:hint="eastAsia"/>
          <w:color w:val="auto"/>
          <w:highlight w:val="none"/>
        </w:rPr>
        <w:t>承包人应按合同约定的环保工作内容，编制施工环保措施计划，报送监理人审批。</w:t>
      </w:r>
    </w:p>
    <w:p>
      <w:pPr>
        <w:pStyle w:val="7"/>
        <w:numPr>
          <w:ilvl w:val="2"/>
          <w:numId w:val="6"/>
        </w:numPr>
        <w:ind w:left="0" w:firstLine="420" w:firstLineChars="200"/>
        <w:rPr>
          <w:color w:val="auto"/>
          <w:highlight w:val="none"/>
        </w:rPr>
      </w:pPr>
      <w:r>
        <w:rPr>
          <w:rFonts w:hint="eastAsia"/>
          <w:color w:val="auto"/>
          <w:highlight w:val="none"/>
        </w:rPr>
        <w:t>承包人应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pStyle w:val="7"/>
        <w:numPr>
          <w:ilvl w:val="2"/>
          <w:numId w:val="6"/>
        </w:numPr>
        <w:ind w:left="0" w:firstLine="420" w:firstLineChars="200"/>
        <w:rPr>
          <w:color w:val="auto"/>
          <w:highlight w:val="none"/>
        </w:rPr>
      </w:pPr>
      <w:r>
        <w:rPr>
          <w:rFonts w:hint="eastAsia"/>
          <w:color w:val="auto"/>
          <w:highlight w:val="none"/>
        </w:rPr>
        <w:t>承包人应按合同约定，加强对噪声、粉尘、废气、废水和废油的控制，努力降低噪声，控制粉尘和废气浓度，做好废水和废油的治理和排放。</w:t>
      </w:r>
    </w:p>
    <w:p>
      <w:pPr>
        <w:pStyle w:val="6"/>
        <w:numPr>
          <w:ilvl w:val="1"/>
          <w:numId w:val="6"/>
        </w:numPr>
        <w:ind w:left="0" w:firstLine="422" w:firstLineChars="200"/>
        <w:rPr>
          <w:color w:val="auto"/>
          <w:highlight w:val="none"/>
        </w:rPr>
      </w:pPr>
      <w:r>
        <w:rPr>
          <w:rFonts w:hint="eastAsia"/>
          <w:color w:val="auto"/>
          <w:highlight w:val="none"/>
        </w:rPr>
        <w:t>事故处理</w:t>
      </w:r>
    </w:p>
    <w:p>
      <w:pPr>
        <w:pStyle w:val="7"/>
        <w:numPr>
          <w:ilvl w:val="2"/>
          <w:numId w:val="6"/>
        </w:numPr>
        <w:ind w:left="0" w:firstLine="420" w:firstLineChars="200"/>
        <w:rPr>
          <w:color w:val="auto"/>
          <w:highlight w:val="none"/>
        </w:rPr>
      </w:pPr>
      <w:r>
        <w:rPr>
          <w:rFonts w:hint="eastAsia"/>
          <w:color w:val="auto"/>
          <w:highlight w:val="none"/>
        </w:rPr>
        <w:t>工程施工过程中发生事故的，承包人应立即通知监理人和发包人，并立即组织人员和设备进行紧急抢救和抢修，减少人员伤亡和财产损失，防止事故扩大，并保护事故现场。事故处理的费用在事故处理结束后由确定的责任方承担，承包人不得以事故责任或费用承担的争议为由拒不进行抢救和抢修。事故原因系由承包人引起，则承包人无权要求顺延工期或增加价款；由此给发包人造成损失的（包括政府部门对于发包人作出的处罚），承包人应予以赔偿。</w:t>
      </w:r>
    </w:p>
    <w:p>
      <w:pPr>
        <w:pStyle w:val="7"/>
        <w:numPr>
          <w:ilvl w:val="2"/>
          <w:numId w:val="6"/>
        </w:numPr>
        <w:ind w:left="0" w:firstLine="420" w:firstLineChars="200"/>
        <w:rPr>
          <w:color w:val="auto"/>
          <w:highlight w:val="none"/>
        </w:rPr>
      </w:pPr>
      <w:r>
        <w:rPr>
          <w:rFonts w:hint="eastAsia"/>
          <w:color w:val="auto"/>
          <w:highlight w:val="none"/>
        </w:rPr>
        <w:t>发包人、承包人对事故责任有争议时，应按政府有关部门的认定处理。</w:t>
      </w:r>
    </w:p>
    <w:p>
      <w:pPr>
        <w:pStyle w:val="5"/>
        <w:numPr>
          <w:ilvl w:val="0"/>
          <w:numId w:val="6"/>
        </w:numPr>
        <w:ind w:left="0" w:firstLine="562" w:firstLineChars="200"/>
        <w:rPr>
          <w:color w:val="auto"/>
          <w:highlight w:val="none"/>
        </w:rPr>
      </w:pPr>
      <w:bookmarkStart w:id="94" w:name="_Toc33446056"/>
      <w:bookmarkStart w:id="95" w:name="_Toc464649543"/>
      <w:bookmarkStart w:id="96" w:name="_Toc33092166"/>
      <w:bookmarkStart w:id="97" w:name="_Toc33445953"/>
      <w:bookmarkStart w:id="98" w:name="_Toc25406"/>
      <w:bookmarkStart w:id="99" w:name="_Toc33448454"/>
      <w:bookmarkStart w:id="100" w:name="_Toc33445878"/>
      <w:bookmarkStart w:id="101" w:name="_Toc133502178"/>
      <w:bookmarkStart w:id="102" w:name="_Toc33448383"/>
      <w:r>
        <w:rPr>
          <w:rFonts w:hint="eastAsia"/>
          <w:color w:val="auto"/>
          <w:highlight w:val="none"/>
        </w:rPr>
        <w:t>进度计划</w:t>
      </w:r>
      <w:bookmarkEnd w:id="94"/>
      <w:bookmarkEnd w:id="95"/>
      <w:bookmarkEnd w:id="96"/>
      <w:bookmarkEnd w:id="97"/>
      <w:bookmarkEnd w:id="98"/>
      <w:bookmarkEnd w:id="99"/>
      <w:bookmarkEnd w:id="100"/>
      <w:bookmarkEnd w:id="101"/>
      <w:bookmarkEnd w:id="102"/>
    </w:p>
    <w:p>
      <w:pPr>
        <w:pStyle w:val="6"/>
        <w:numPr>
          <w:ilvl w:val="1"/>
          <w:numId w:val="6"/>
        </w:numPr>
        <w:ind w:left="0" w:firstLine="422" w:firstLineChars="200"/>
        <w:rPr>
          <w:color w:val="auto"/>
          <w:highlight w:val="none"/>
        </w:rPr>
      </w:pPr>
      <w:r>
        <w:rPr>
          <w:rFonts w:hint="eastAsia"/>
          <w:color w:val="auto"/>
          <w:highlight w:val="none"/>
        </w:rPr>
        <w:t>合同进度计划</w:t>
      </w:r>
    </w:p>
    <w:p>
      <w:pPr>
        <w:pStyle w:val="7"/>
        <w:numPr>
          <w:ilvl w:val="2"/>
          <w:numId w:val="6"/>
        </w:numPr>
        <w:ind w:left="0" w:firstLine="420" w:firstLineChars="200"/>
        <w:rPr>
          <w:color w:val="auto"/>
          <w:highlight w:val="none"/>
        </w:rPr>
      </w:pPr>
      <w:r>
        <w:rPr>
          <w:rFonts w:hint="eastAsia"/>
          <w:color w:val="auto"/>
          <w:highlight w:val="none"/>
        </w:rPr>
        <w:t>承包人应按专用条款约定的内容和期限，编制详细的施工进度计划报送监理人。监理人应在专用条款约定的期限内征求发包人意见后，批复或提出修改意见。经监理人批准的施工进度计划为合同进度计划，是控制合同工程进度的依据。承包人还应根据合同进度计划，编制更为详细的分阶段或分项进度计划，报监理人审批。</w:t>
      </w:r>
    </w:p>
    <w:p>
      <w:pPr>
        <w:pStyle w:val="7"/>
        <w:numPr>
          <w:ilvl w:val="2"/>
          <w:numId w:val="6"/>
        </w:numPr>
        <w:ind w:left="0" w:firstLine="420" w:firstLineChars="200"/>
        <w:rPr>
          <w:color w:val="auto"/>
          <w:highlight w:val="none"/>
        </w:rPr>
      </w:pPr>
      <w:r>
        <w:rPr>
          <w:rFonts w:hint="eastAsia"/>
          <w:color w:val="auto"/>
          <w:highlight w:val="none"/>
        </w:rPr>
        <w:t>合同实施过程中发包人控制的工期节点时间在专用条款中说明。</w:t>
      </w:r>
    </w:p>
    <w:p>
      <w:pPr>
        <w:pStyle w:val="7"/>
        <w:numPr>
          <w:ilvl w:val="2"/>
          <w:numId w:val="6"/>
        </w:numPr>
        <w:ind w:left="0" w:firstLine="420" w:firstLineChars="200"/>
        <w:rPr>
          <w:color w:val="auto"/>
          <w:highlight w:val="none"/>
        </w:rPr>
      </w:pPr>
      <w:r>
        <w:rPr>
          <w:rFonts w:hint="eastAsia"/>
          <w:color w:val="auto"/>
          <w:highlight w:val="none"/>
        </w:rPr>
        <w:t>承包人必须按发包人和监理人确认的进度计划组织施工，接受发包人和监理人对进度的检查、监督。工程实际进度与经确认的进度计划不符时，承包人应按发包人和监理人的要求提出改进措施，经发包人和监理人确认后执行。因承包人的原因导致实际进度与进度计划不符，承包人无权就改进措施提出追加合同暂定总价，还应向发包人支付节点工期逾期违约金。</w:t>
      </w:r>
    </w:p>
    <w:p>
      <w:pPr>
        <w:pStyle w:val="7"/>
        <w:numPr>
          <w:ilvl w:val="2"/>
          <w:numId w:val="6"/>
        </w:numPr>
        <w:ind w:left="0" w:firstLine="420" w:firstLineChars="200"/>
        <w:rPr>
          <w:color w:val="auto"/>
          <w:highlight w:val="none"/>
        </w:rPr>
      </w:pPr>
      <w:r>
        <w:rPr>
          <w:rFonts w:hint="eastAsia"/>
          <w:color w:val="auto"/>
          <w:highlight w:val="none"/>
        </w:rPr>
        <w:t>承包人应按专用条款约定的日期向发包人及监理人报送当月完工报表及下月施工计划（月计划必须满足工程总体计划要求），如不按时报送或所报计划不能满足发包人要求，发包人可延期支付工程进度款。</w:t>
      </w:r>
    </w:p>
    <w:p>
      <w:pPr>
        <w:pStyle w:val="7"/>
        <w:numPr>
          <w:ilvl w:val="2"/>
          <w:numId w:val="6"/>
        </w:numPr>
        <w:ind w:left="0" w:firstLine="420" w:firstLineChars="200"/>
        <w:rPr>
          <w:color w:val="auto"/>
          <w:highlight w:val="none"/>
        </w:rPr>
      </w:pPr>
      <w:r>
        <w:rPr>
          <w:rFonts w:hint="eastAsia"/>
          <w:color w:val="auto"/>
          <w:highlight w:val="none"/>
        </w:rPr>
        <w:t>无论发包人何时需要，承包人还应以书面形式提交一份对其进行分包工程的施工安排和拟采用方法的总体说明，供发包人参考。如果发包人认为分包工程的实际进度不符合他已同意的进度计划时，承包人应根据发包人的要求提交一份修订的进度计划，表明为保证分包工程在分包人的竣工时间内完工而对原进度计划所作的必要修改，但发包人对分包人的管理不能免除承包人对分包的管理责任。</w:t>
      </w:r>
    </w:p>
    <w:p>
      <w:pPr>
        <w:pStyle w:val="7"/>
        <w:numPr>
          <w:ilvl w:val="2"/>
          <w:numId w:val="6"/>
        </w:numPr>
        <w:ind w:left="0" w:firstLine="420" w:firstLineChars="200"/>
        <w:rPr>
          <w:color w:val="auto"/>
          <w:highlight w:val="none"/>
        </w:rPr>
      </w:pPr>
      <w:r>
        <w:rPr>
          <w:rFonts w:hint="eastAsia"/>
          <w:color w:val="auto"/>
          <w:highlight w:val="none"/>
        </w:rPr>
        <w:t>承包人保证承包项目在合同工期内完成，同时保证给予分包项目以合理的施工衔接环节与施工进度时间，确保各项工程均在合同工期内同步进行。</w:t>
      </w:r>
    </w:p>
    <w:p>
      <w:pPr>
        <w:pStyle w:val="7"/>
        <w:numPr>
          <w:ilvl w:val="2"/>
          <w:numId w:val="6"/>
        </w:numPr>
        <w:ind w:left="0" w:firstLine="420" w:firstLineChars="200"/>
        <w:rPr>
          <w:color w:val="auto"/>
          <w:highlight w:val="none"/>
        </w:rPr>
      </w:pPr>
      <w:r>
        <w:rPr>
          <w:rFonts w:hint="eastAsia"/>
          <w:color w:val="auto"/>
          <w:highlight w:val="none"/>
        </w:rPr>
        <w:t>施工进度计划是承包人出具的对发包人的最低承诺，发包人或监理人按合同对施工进度计划的批准,并不解除承包人根据合同规定应承担的责任，经发包人或监理人批准的施工进度计划本身出现问题或错误时，一切额外支出和工期延误由承包人负责。</w:t>
      </w:r>
    </w:p>
    <w:p>
      <w:pPr>
        <w:pStyle w:val="7"/>
        <w:numPr>
          <w:ilvl w:val="2"/>
          <w:numId w:val="6"/>
        </w:numPr>
        <w:ind w:left="0" w:firstLine="420" w:firstLineChars="200"/>
        <w:rPr>
          <w:color w:val="auto"/>
          <w:highlight w:val="none"/>
        </w:rPr>
      </w:pPr>
      <w:r>
        <w:rPr>
          <w:rFonts w:hint="eastAsia"/>
          <w:color w:val="auto"/>
          <w:highlight w:val="none"/>
        </w:rPr>
        <w:t>如发包人代表或监理人认为工程的进度滞后于原定的施工计划，不能按工期完成时，发包人代表或监理人有权通知承包人采取适当的、必要的措施，在保证工程质量的前提下加快工程进度以便按时完工。承包人采取这种措施无权另收费用。</w:t>
      </w:r>
    </w:p>
    <w:p>
      <w:pPr>
        <w:pStyle w:val="6"/>
        <w:numPr>
          <w:ilvl w:val="1"/>
          <w:numId w:val="6"/>
        </w:numPr>
        <w:ind w:left="0" w:firstLine="422" w:firstLineChars="200"/>
        <w:rPr>
          <w:color w:val="auto"/>
          <w:highlight w:val="none"/>
        </w:rPr>
      </w:pPr>
      <w:r>
        <w:rPr>
          <w:rFonts w:hint="eastAsia"/>
          <w:color w:val="auto"/>
          <w:highlight w:val="none"/>
        </w:rPr>
        <w:t>合同进度计划的修订</w:t>
      </w:r>
    </w:p>
    <w:p>
      <w:pPr>
        <w:pStyle w:val="7"/>
        <w:numPr>
          <w:ilvl w:val="2"/>
          <w:numId w:val="6"/>
        </w:numPr>
        <w:ind w:left="0" w:firstLine="420" w:firstLineChars="200"/>
        <w:rPr>
          <w:color w:val="auto"/>
          <w:highlight w:val="none"/>
        </w:rPr>
      </w:pPr>
      <w:r>
        <w:rPr>
          <w:rFonts w:hint="eastAsia"/>
          <w:color w:val="auto"/>
          <w:highlight w:val="none"/>
        </w:rPr>
        <w:t>不论何种原因造成工程的实际进度与第10.1款的合同进度计划不符时，承包人可以向监理人提交修订合同进度计划的申请报告，并附有关措施和相关资料，报监理人审批；发包人认为本工程或其中任何部分工程进度滞后而不能按预定工期完工，有权向承包人发出修订工程进度计划的书面指令。承包人应在接到发包人指令后的七（7）天内将修订后的进度计划提交给发包人。修改后的工程进度计划，仍应保证本合同工程在合同约定的工期内完成。同时承包人应加大投入，确保工程能在合同约定的工期内完成。如承包人未能在此时限内提交修订后的进度计划或未采取有效措施，发包人有权单方面解除合同，或将未完工程的全部或一部分另行安排给其他有能力的承包商，承包人必须无条件服从，由此产生的费用由承包人承担，发包人有权从应支付给承包人的任何款项中予以扣除，且不免除承包人应负的责任和义务。监理人也可以直接向承包人作出修订合同进度计划的指示，承包人应按该指示修订合同进度计划，报监理人审批，监理人在批复前应获得发包人同意。</w:t>
      </w:r>
    </w:p>
    <w:p>
      <w:pPr>
        <w:pStyle w:val="5"/>
        <w:numPr>
          <w:ilvl w:val="0"/>
          <w:numId w:val="6"/>
        </w:numPr>
        <w:ind w:left="0" w:firstLine="562" w:firstLineChars="200"/>
        <w:rPr>
          <w:color w:val="auto"/>
          <w:highlight w:val="none"/>
        </w:rPr>
      </w:pPr>
      <w:bookmarkStart w:id="103" w:name="_Toc24305"/>
      <w:bookmarkStart w:id="104" w:name="_Toc33446057"/>
      <w:bookmarkStart w:id="105" w:name="_Toc33445954"/>
      <w:bookmarkStart w:id="106" w:name="_Toc133502179"/>
      <w:bookmarkStart w:id="107" w:name="_Toc464649544"/>
      <w:bookmarkStart w:id="108" w:name="_Toc33448384"/>
      <w:bookmarkStart w:id="109" w:name="_Toc33445879"/>
      <w:bookmarkStart w:id="110" w:name="_Toc33448455"/>
      <w:bookmarkStart w:id="111" w:name="_Toc33092167"/>
      <w:r>
        <w:rPr>
          <w:rFonts w:hint="eastAsia"/>
          <w:color w:val="auto"/>
          <w:highlight w:val="none"/>
        </w:rPr>
        <w:t>开工和竣工</w:t>
      </w:r>
      <w:bookmarkEnd w:id="103"/>
      <w:bookmarkEnd w:id="104"/>
      <w:bookmarkEnd w:id="105"/>
      <w:bookmarkEnd w:id="106"/>
      <w:bookmarkEnd w:id="107"/>
      <w:bookmarkEnd w:id="108"/>
      <w:bookmarkEnd w:id="109"/>
      <w:bookmarkEnd w:id="110"/>
      <w:bookmarkEnd w:id="111"/>
    </w:p>
    <w:p>
      <w:pPr>
        <w:pStyle w:val="6"/>
        <w:numPr>
          <w:ilvl w:val="1"/>
          <w:numId w:val="6"/>
        </w:numPr>
        <w:ind w:left="0" w:firstLine="422" w:firstLineChars="200"/>
        <w:rPr>
          <w:color w:val="auto"/>
          <w:highlight w:val="none"/>
        </w:rPr>
      </w:pPr>
      <w:r>
        <w:rPr>
          <w:rFonts w:hint="eastAsia"/>
          <w:color w:val="auto"/>
          <w:highlight w:val="none"/>
        </w:rPr>
        <w:t>开工</w:t>
      </w:r>
    </w:p>
    <w:p>
      <w:pPr>
        <w:pStyle w:val="7"/>
        <w:numPr>
          <w:ilvl w:val="2"/>
          <w:numId w:val="6"/>
        </w:numPr>
        <w:ind w:left="0" w:firstLine="420" w:firstLineChars="200"/>
        <w:rPr>
          <w:color w:val="auto"/>
          <w:highlight w:val="none"/>
        </w:rPr>
      </w:pPr>
      <w:r>
        <w:rPr>
          <w:rFonts w:hint="eastAsia"/>
          <w:color w:val="auto"/>
          <w:highlight w:val="none"/>
        </w:rPr>
        <w:t>承包人应按合同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7"/>
        <w:numPr>
          <w:ilvl w:val="2"/>
          <w:numId w:val="6"/>
        </w:numPr>
        <w:ind w:left="0" w:firstLine="420" w:firstLineChars="200"/>
        <w:rPr>
          <w:color w:val="auto"/>
          <w:highlight w:val="none"/>
        </w:rPr>
      </w:pPr>
      <w:r>
        <w:rPr>
          <w:rFonts w:hint="eastAsia"/>
          <w:color w:val="auto"/>
          <w:highlight w:val="none"/>
        </w:rPr>
        <w:t>承包人应在开工前检查本工程工地上已由其他施工单位完成而又会影响到本工程的所有工程之标高、定位、尺寸、质量等，只要该等工程符合国家规范要求，承包人就必须接收施工场地。若此等已完成工程内存在错误或不符合本工程的需要，承包人应当立刻书面通知发包人。一旦承包人接收施工场地或本工程已经开工，且未通知发包人已完成工程内存在的错误或不符合本工程的需要，则均视为前述已完工程均已符合国家规范并满足本工程需要，此后如发现该等已完工程仍存在需要整改或修补或不满足本工程需要的情形，则一切责任由承包人自行承担，本合同项下工期及合同价款均不作调整。</w:t>
      </w:r>
    </w:p>
    <w:p>
      <w:pPr>
        <w:pStyle w:val="7"/>
        <w:numPr>
          <w:ilvl w:val="2"/>
          <w:numId w:val="6"/>
        </w:numPr>
        <w:ind w:left="0" w:firstLine="420" w:firstLineChars="200"/>
        <w:rPr>
          <w:color w:val="auto"/>
          <w:highlight w:val="none"/>
        </w:rPr>
      </w:pPr>
      <w:r>
        <w:rPr>
          <w:rFonts w:hint="eastAsia"/>
          <w:color w:val="auto"/>
          <w:highlight w:val="none"/>
        </w:rPr>
        <w:t>承包人不能按时开工，应当不迟于发包人要求的开工日期前7天，以书面形式向发包人和监理人提出延期开工的理由和要求。发包人和监理人应当在接到延期开工申请后的48小时内以书面形式答复承包人。发包人和监理人在接到延期开工申请后48小时内不答复，视为同意承包人要求，工期相应顺延。发包人和监理人不同意延期要求或承包人未在规定时间内提出延期开工要求，工期不予顺延。</w:t>
      </w:r>
    </w:p>
    <w:p>
      <w:pPr>
        <w:pStyle w:val="6"/>
        <w:numPr>
          <w:ilvl w:val="1"/>
          <w:numId w:val="6"/>
        </w:numPr>
        <w:ind w:left="0" w:firstLine="422" w:firstLineChars="200"/>
        <w:rPr>
          <w:color w:val="auto"/>
          <w:highlight w:val="none"/>
        </w:rPr>
      </w:pPr>
      <w:r>
        <w:rPr>
          <w:rFonts w:hint="eastAsia"/>
          <w:color w:val="auto"/>
          <w:highlight w:val="none"/>
        </w:rPr>
        <w:t>竣工</w:t>
      </w:r>
    </w:p>
    <w:p>
      <w:pPr>
        <w:pStyle w:val="7"/>
        <w:numPr>
          <w:ilvl w:val="2"/>
          <w:numId w:val="6"/>
        </w:numPr>
        <w:ind w:left="0" w:firstLine="420" w:firstLineChars="200"/>
        <w:rPr>
          <w:color w:val="auto"/>
          <w:highlight w:val="none"/>
        </w:rPr>
      </w:pPr>
      <w:r>
        <w:rPr>
          <w:rFonts w:hint="eastAsia"/>
          <w:color w:val="auto"/>
          <w:highlight w:val="none"/>
        </w:rPr>
        <w:t>承包人应在合同约定的期限内完成合同工程。</w:t>
      </w:r>
    </w:p>
    <w:p>
      <w:pPr>
        <w:pStyle w:val="6"/>
        <w:numPr>
          <w:ilvl w:val="1"/>
          <w:numId w:val="6"/>
        </w:numPr>
        <w:ind w:left="0" w:firstLine="422" w:firstLineChars="200"/>
        <w:rPr>
          <w:color w:val="auto"/>
          <w:highlight w:val="none"/>
        </w:rPr>
      </w:pPr>
      <w:r>
        <w:rPr>
          <w:rFonts w:hint="eastAsia"/>
          <w:color w:val="auto"/>
          <w:highlight w:val="none"/>
        </w:rPr>
        <w:t>发包人的工期延误</w:t>
      </w:r>
    </w:p>
    <w:p>
      <w:pPr>
        <w:pStyle w:val="7"/>
        <w:numPr>
          <w:ilvl w:val="2"/>
          <w:numId w:val="6"/>
        </w:numPr>
        <w:ind w:left="0" w:firstLine="420" w:firstLineChars="200"/>
        <w:rPr>
          <w:color w:val="auto"/>
          <w:highlight w:val="none"/>
        </w:rPr>
      </w:pPr>
      <w:r>
        <w:rPr>
          <w:rFonts w:hint="eastAsia"/>
          <w:color w:val="auto"/>
          <w:highlight w:val="none"/>
        </w:rPr>
        <w:t>在履行合同过程中，由于发包人的下列原因造成工期延误7天以上的的，承包人有权要求发包人延长工期，但不得因此索赔费用。需要修订合同进度计划的，按照第10.2款的约定办理。</w:t>
      </w:r>
    </w:p>
    <w:p>
      <w:pPr>
        <w:pStyle w:val="8"/>
        <w:numPr>
          <w:ilvl w:val="0"/>
          <w:numId w:val="30"/>
        </w:numPr>
        <w:rPr>
          <w:color w:val="auto"/>
          <w:highlight w:val="none"/>
        </w:rPr>
      </w:pPr>
      <w:r>
        <w:rPr>
          <w:rFonts w:hint="eastAsia"/>
          <w:color w:val="auto"/>
          <w:highlight w:val="none"/>
        </w:rPr>
        <w:t>发包人未能按专用条款的约定提供图纸及开工条件；</w:t>
      </w:r>
    </w:p>
    <w:p>
      <w:pPr>
        <w:pStyle w:val="8"/>
        <w:numPr>
          <w:ilvl w:val="0"/>
          <w:numId w:val="25"/>
        </w:numPr>
        <w:rPr>
          <w:color w:val="auto"/>
          <w:highlight w:val="none"/>
        </w:rPr>
      </w:pPr>
      <w:r>
        <w:rPr>
          <w:rFonts w:hint="eastAsia"/>
          <w:color w:val="auto"/>
          <w:highlight w:val="none"/>
        </w:rPr>
        <w:t>发包人迟延提供材料、工程设备；</w:t>
      </w:r>
    </w:p>
    <w:p>
      <w:pPr>
        <w:pStyle w:val="8"/>
        <w:numPr>
          <w:ilvl w:val="0"/>
          <w:numId w:val="25"/>
        </w:numPr>
        <w:rPr>
          <w:color w:val="auto"/>
          <w:highlight w:val="none"/>
        </w:rPr>
      </w:pPr>
      <w:r>
        <w:rPr>
          <w:rFonts w:hint="eastAsia"/>
          <w:color w:val="auto"/>
          <w:highlight w:val="none"/>
        </w:rPr>
        <w:t>专用条款约定的其他情形。</w:t>
      </w:r>
    </w:p>
    <w:p>
      <w:pPr>
        <w:pStyle w:val="6"/>
        <w:numPr>
          <w:ilvl w:val="1"/>
          <w:numId w:val="6"/>
        </w:numPr>
        <w:ind w:left="0" w:firstLine="422" w:firstLineChars="200"/>
        <w:rPr>
          <w:color w:val="auto"/>
          <w:highlight w:val="none"/>
        </w:rPr>
      </w:pPr>
      <w:r>
        <w:rPr>
          <w:rFonts w:hint="eastAsia"/>
          <w:color w:val="auto"/>
          <w:highlight w:val="none"/>
        </w:rPr>
        <w:t>异常恶劣的气候条件</w:t>
      </w:r>
    </w:p>
    <w:p>
      <w:pPr>
        <w:pStyle w:val="7"/>
        <w:numPr>
          <w:ilvl w:val="2"/>
          <w:numId w:val="6"/>
        </w:numPr>
        <w:ind w:left="0" w:firstLine="420" w:firstLineChars="200"/>
        <w:rPr>
          <w:color w:val="auto"/>
          <w:highlight w:val="none"/>
        </w:rPr>
      </w:pPr>
      <w:r>
        <w:rPr>
          <w:rFonts w:hint="eastAsia"/>
          <w:color w:val="auto"/>
          <w:highlight w:val="none"/>
        </w:rPr>
        <w:t>由于出现专用条款规定的异常恶劣气候的条件导致工期延误的，承包人有权要求发包人延长工期。</w:t>
      </w:r>
    </w:p>
    <w:p>
      <w:pPr>
        <w:pStyle w:val="6"/>
        <w:numPr>
          <w:ilvl w:val="1"/>
          <w:numId w:val="6"/>
        </w:numPr>
        <w:ind w:left="0" w:firstLine="422" w:firstLineChars="200"/>
        <w:rPr>
          <w:color w:val="auto"/>
          <w:highlight w:val="none"/>
        </w:rPr>
      </w:pPr>
      <w:r>
        <w:rPr>
          <w:rFonts w:hint="eastAsia"/>
          <w:color w:val="auto"/>
          <w:highlight w:val="none"/>
        </w:rPr>
        <w:t>承包人的工期延误</w:t>
      </w:r>
    </w:p>
    <w:p>
      <w:pPr>
        <w:pStyle w:val="7"/>
        <w:numPr>
          <w:ilvl w:val="2"/>
          <w:numId w:val="6"/>
        </w:numPr>
        <w:ind w:left="0" w:firstLine="420" w:firstLineChars="200"/>
        <w:rPr>
          <w:color w:val="auto"/>
          <w:highlight w:val="none"/>
        </w:rPr>
      </w:pPr>
      <w:r>
        <w:rPr>
          <w:rFonts w:hint="eastAsia"/>
          <w:color w:val="auto"/>
          <w:highlight w:val="none"/>
        </w:rPr>
        <w:t>由于承包人原因，未能按合同进度计划完成工作，或监理人认为承包人施工进度不能满足合同工期要求的，承包人应采取措施加快进度，并承担加快进度所增加的费用。由于承包人原因造成节点工期延误和(或)竣工工期延误，承包人应支付节点工期逾期违约金和（或）逾期竣工违约金。承包人支付上述违约金，不免除承包人完成工程及修补缺陷的义务。承包人工期延误的其他约定见专用条款。</w:t>
      </w:r>
    </w:p>
    <w:p>
      <w:pPr>
        <w:pStyle w:val="5"/>
        <w:numPr>
          <w:ilvl w:val="0"/>
          <w:numId w:val="6"/>
        </w:numPr>
        <w:ind w:left="0" w:firstLine="562" w:firstLineChars="200"/>
        <w:rPr>
          <w:color w:val="auto"/>
          <w:highlight w:val="none"/>
        </w:rPr>
      </w:pPr>
      <w:bookmarkStart w:id="112" w:name="_Toc133502180"/>
      <w:bookmarkStart w:id="113" w:name="_Toc33448385"/>
      <w:bookmarkStart w:id="114" w:name="_Toc33445955"/>
      <w:bookmarkStart w:id="115" w:name="_Toc33446058"/>
      <w:bookmarkStart w:id="116" w:name="_Toc464649545"/>
      <w:bookmarkStart w:id="117" w:name="_Toc33092168"/>
      <w:bookmarkStart w:id="118" w:name="_Toc33445880"/>
      <w:bookmarkStart w:id="119" w:name="_Toc12071"/>
      <w:bookmarkStart w:id="120" w:name="_Toc33448456"/>
      <w:r>
        <w:rPr>
          <w:rFonts w:hint="eastAsia"/>
          <w:color w:val="auto"/>
          <w:highlight w:val="none"/>
        </w:rPr>
        <w:t>暂停施工</w:t>
      </w:r>
      <w:bookmarkEnd w:id="112"/>
      <w:bookmarkEnd w:id="113"/>
      <w:bookmarkEnd w:id="114"/>
      <w:bookmarkEnd w:id="115"/>
      <w:bookmarkEnd w:id="116"/>
      <w:bookmarkEnd w:id="117"/>
      <w:bookmarkEnd w:id="118"/>
      <w:bookmarkEnd w:id="119"/>
      <w:bookmarkEnd w:id="120"/>
    </w:p>
    <w:p>
      <w:pPr>
        <w:pStyle w:val="6"/>
        <w:numPr>
          <w:ilvl w:val="1"/>
          <w:numId w:val="6"/>
        </w:numPr>
        <w:ind w:left="0" w:firstLine="422" w:firstLineChars="200"/>
        <w:rPr>
          <w:color w:val="auto"/>
          <w:highlight w:val="none"/>
        </w:rPr>
      </w:pPr>
      <w:r>
        <w:rPr>
          <w:rFonts w:hint="eastAsia"/>
          <w:color w:val="auto"/>
          <w:highlight w:val="none"/>
        </w:rPr>
        <w:t>承包人暂停施工的责任</w:t>
      </w:r>
    </w:p>
    <w:p>
      <w:pPr>
        <w:pStyle w:val="7"/>
        <w:numPr>
          <w:ilvl w:val="2"/>
          <w:numId w:val="6"/>
        </w:numPr>
        <w:ind w:left="0" w:firstLine="420" w:firstLineChars="200"/>
        <w:rPr>
          <w:color w:val="auto"/>
          <w:highlight w:val="none"/>
        </w:rPr>
      </w:pPr>
      <w:r>
        <w:rPr>
          <w:rFonts w:hint="eastAsia"/>
          <w:color w:val="auto"/>
          <w:highlight w:val="none"/>
        </w:rPr>
        <w:t>因下列暂停施工增加的费用和（或）工期延误由承包人承担：</w:t>
      </w:r>
    </w:p>
    <w:p>
      <w:pPr>
        <w:pStyle w:val="8"/>
        <w:numPr>
          <w:ilvl w:val="0"/>
          <w:numId w:val="31"/>
        </w:numPr>
        <w:rPr>
          <w:color w:val="auto"/>
          <w:highlight w:val="none"/>
        </w:rPr>
      </w:pPr>
      <w:r>
        <w:rPr>
          <w:rFonts w:hint="eastAsia"/>
          <w:color w:val="auto"/>
          <w:highlight w:val="none"/>
        </w:rPr>
        <w:t>承包人违约引起的暂停施工；</w:t>
      </w:r>
    </w:p>
    <w:p>
      <w:pPr>
        <w:pStyle w:val="8"/>
        <w:numPr>
          <w:ilvl w:val="0"/>
          <w:numId w:val="25"/>
        </w:numPr>
        <w:rPr>
          <w:color w:val="auto"/>
          <w:highlight w:val="none"/>
        </w:rPr>
      </w:pPr>
      <w:r>
        <w:rPr>
          <w:rFonts w:hint="eastAsia"/>
          <w:color w:val="auto"/>
          <w:highlight w:val="none"/>
        </w:rPr>
        <w:t>由于承包人原因为工程合理施工和安全保障所必需的暂停施工；</w:t>
      </w:r>
    </w:p>
    <w:p>
      <w:pPr>
        <w:pStyle w:val="8"/>
        <w:numPr>
          <w:ilvl w:val="0"/>
          <w:numId w:val="25"/>
        </w:numPr>
        <w:rPr>
          <w:color w:val="auto"/>
          <w:highlight w:val="none"/>
        </w:rPr>
      </w:pPr>
      <w:r>
        <w:rPr>
          <w:rFonts w:hint="eastAsia"/>
          <w:color w:val="auto"/>
          <w:highlight w:val="none"/>
        </w:rPr>
        <w:t>承包人擅自暂停施工；</w:t>
      </w:r>
    </w:p>
    <w:p>
      <w:pPr>
        <w:pStyle w:val="8"/>
        <w:numPr>
          <w:ilvl w:val="0"/>
          <w:numId w:val="25"/>
        </w:numPr>
        <w:rPr>
          <w:color w:val="auto"/>
          <w:highlight w:val="none"/>
        </w:rPr>
      </w:pPr>
      <w:r>
        <w:rPr>
          <w:rFonts w:hint="eastAsia"/>
          <w:color w:val="auto"/>
          <w:highlight w:val="none"/>
        </w:rPr>
        <w:t>承包人其他原因引起的暂停施工。</w:t>
      </w:r>
    </w:p>
    <w:p>
      <w:pPr>
        <w:pStyle w:val="6"/>
        <w:numPr>
          <w:ilvl w:val="1"/>
          <w:numId w:val="6"/>
        </w:numPr>
        <w:ind w:left="0" w:firstLine="422" w:firstLineChars="200"/>
        <w:rPr>
          <w:color w:val="auto"/>
          <w:highlight w:val="none"/>
        </w:rPr>
      </w:pPr>
      <w:r>
        <w:rPr>
          <w:rFonts w:hint="eastAsia"/>
          <w:color w:val="auto"/>
          <w:highlight w:val="none"/>
        </w:rPr>
        <w:t>发包人暂停施工的责任</w:t>
      </w:r>
    </w:p>
    <w:p>
      <w:pPr>
        <w:pStyle w:val="7"/>
        <w:numPr>
          <w:ilvl w:val="2"/>
          <w:numId w:val="6"/>
        </w:numPr>
        <w:ind w:left="0" w:firstLine="420" w:firstLineChars="200"/>
        <w:rPr>
          <w:color w:val="auto"/>
          <w:highlight w:val="none"/>
        </w:rPr>
      </w:pPr>
      <w:r>
        <w:rPr>
          <w:rFonts w:hint="eastAsia"/>
          <w:color w:val="auto"/>
          <w:highlight w:val="none"/>
        </w:rPr>
        <w:t>由于发包人原因引起的暂停施工造成工期延误的，承包人有权要求发包人延长工期和（或）增加费用。具体约定见专用条款。</w:t>
      </w:r>
    </w:p>
    <w:p>
      <w:pPr>
        <w:pStyle w:val="6"/>
        <w:numPr>
          <w:ilvl w:val="1"/>
          <w:numId w:val="6"/>
        </w:numPr>
        <w:ind w:left="0" w:firstLine="422" w:firstLineChars="200"/>
        <w:rPr>
          <w:color w:val="auto"/>
          <w:highlight w:val="none"/>
        </w:rPr>
      </w:pPr>
      <w:r>
        <w:rPr>
          <w:rFonts w:hint="eastAsia"/>
          <w:color w:val="auto"/>
          <w:highlight w:val="none"/>
        </w:rPr>
        <w:t>监理人暂停施工指示</w:t>
      </w:r>
    </w:p>
    <w:p>
      <w:pPr>
        <w:pStyle w:val="7"/>
        <w:numPr>
          <w:ilvl w:val="2"/>
          <w:numId w:val="6"/>
        </w:numPr>
        <w:ind w:left="0" w:firstLine="420" w:firstLineChars="200"/>
        <w:rPr>
          <w:color w:val="auto"/>
          <w:highlight w:val="none"/>
        </w:rPr>
      </w:pPr>
      <w:r>
        <w:rPr>
          <w:rFonts w:hint="eastAsia"/>
          <w:color w:val="auto"/>
          <w:highlight w:val="none"/>
        </w:rPr>
        <w:t>监理人认为有必要时，经发包人同意，可向承包人作出暂停施工的指示，承包人应按监理人指示暂停施工。不论由于何种原因引起的暂停施工，暂停施工期间承包人应负责妥善保护工程并提供安全保障。</w:t>
      </w:r>
    </w:p>
    <w:p>
      <w:pPr>
        <w:pStyle w:val="7"/>
        <w:numPr>
          <w:ilvl w:val="2"/>
          <w:numId w:val="6"/>
        </w:numPr>
        <w:ind w:left="0" w:firstLine="420" w:firstLineChars="200"/>
        <w:rPr>
          <w:color w:val="auto"/>
          <w:highlight w:val="none"/>
        </w:rPr>
      </w:pPr>
      <w:r>
        <w:rPr>
          <w:rFonts w:hint="eastAsia"/>
          <w:color w:val="auto"/>
          <w:highlight w:val="none"/>
        </w:rPr>
        <w:t>由于发包人的原因发生暂停施工的紧急情况，且监理人未及时下达暂停施工指示的，承包人应及时向监理人和发包人提出暂停施工的请求。监理人和发包人应在接到请求后的24小时内予以答复，逾期未答复的，视为不同意承包人的暂停施工请求。</w:t>
      </w:r>
    </w:p>
    <w:p>
      <w:pPr>
        <w:pStyle w:val="6"/>
        <w:numPr>
          <w:ilvl w:val="1"/>
          <w:numId w:val="6"/>
        </w:numPr>
        <w:ind w:left="0" w:firstLine="422" w:firstLineChars="200"/>
        <w:rPr>
          <w:color w:val="auto"/>
          <w:highlight w:val="none"/>
        </w:rPr>
      </w:pPr>
      <w:r>
        <w:rPr>
          <w:rFonts w:hint="eastAsia"/>
          <w:color w:val="auto"/>
          <w:highlight w:val="none"/>
        </w:rPr>
        <w:t>暂停施工后的复工</w:t>
      </w:r>
    </w:p>
    <w:p>
      <w:pPr>
        <w:pStyle w:val="7"/>
        <w:numPr>
          <w:ilvl w:val="2"/>
          <w:numId w:val="6"/>
        </w:numPr>
        <w:ind w:left="0" w:firstLine="420" w:firstLineChars="200"/>
        <w:rPr>
          <w:color w:val="auto"/>
          <w:highlight w:val="none"/>
        </w:rPr>
      </w:pPr>
      <w:r>
        <w:rPr>
          <w:rFonts w:hint="eastAsia"/>
          <w:color w:val="auto"/>
          <w:highlight w:val="none"/>
        </w:rPr>
        <w:t>暂停施工后，监理人应与发包人和承包人协商，采取有效措施积极消除暂停施工的影响。当工程具备复工条件时，监理人应在取得发包人同意后立即向承包人发出复工通知。承包人收到复工通知后，应在监理人指定的期限内复工。</w:t>
      </w:r>
    </w:p>
    <w:p>
      <w:pPr>
        <w:pStyle w:val="7"/>
        <w:numPr>
          <w:ilvl w:val="2"/>
          <w:numId w:val="6"/>
        </w:numPr>
        <w:ind w:left="0" w:firstLine="420" w:firstLineChars="200"/>
        <w:rPr>
          <w:color w:val="auto"/>
          <w:highlight w:val="none"/>
        </w:rPr>
      </w:pPr>
      <w:r>
        <w:rPr>
          <w:rFonts w:hint="eastAsia"/>
          <w:color w:val="auto"/>
          <w:highlight w:val="none"/>
        </w:rPr>
        <w:t>监理人发出复工通知后，监理人应和承包人一起对受到暂停施工影响的工程、材料和工程设备进行检查。承包人负责修复在暂停施工期间发生在工程、材料和工程设备上的任何损蚀、缺陷或损失，有关费用承担的约定见专用条款12.2.1条的约定。</w:t>
      </w:r>
    </w:p>
    <w:p>
      <w:pPr>
        <w:pStyle w:val="7"/>
        <w:numPr>
          <w:ilvl w:val="2"/>
          <w:numId w:val="6"/>
        </w:numPr>
        <w:ind w:left="0" w:firstLine="420" w:firstLineChars="200"/>
        <w:rPr>
          <w:color w:val="auto"/>
          <w:highlight w:val="none"/>
        </w:rPr>
      </w:pPr>
      <w:r>
        <w:rPr>
          <w:rFonts w:hint="eastAsia"/>
          <w:color w:val="auto"/>
          <w:highlight w:val="none"/>
        </w:rPr>
        <w:t>承包人无故拖延和拒绝复工的，由此增加的费用和工期延误由承包人承担；因发包人原因无法按时复工的，承包人有权要求发包人延长工期和（或）增加费用。</w:t>
      </w:r>
    </w:p>
    <w:p>
      <w:pPr>
        <w:pStyle w:val="7"/>
        <w:numPr>
          <w:ilvl w:val="2"/>
          <w:numId w:val="6"/>
        </w:numPr>
        <w:ind w:left="0" w:firstLine="420" w:firstLineChars="200"/>
        <w:rPr>
          <w:color w:val="auto"/>
          <w:highlight w:val="none"/>
        </w:rPr>
      </w:pPr>
      <w:r>
        <w:rPr>
          <w:rFonts w:hint="eastAsia"/>
          <w:color w:val="auto"/>
          <w:highlight w:val="none"/>
        </w:rPr>
        <w:t>其他约定见专用条款。</w:t>
      </w:r>
    </w:p>
    <w:p>
      <w:pPr>
        <w:pStyle w:val="6"/>
        <w:numPr>
          <w:ilvl w:val="1"/>
          <w:numId w:val="6"/>
        </w:numPr>
        <w:ind w:left="0" w:firstLine="422" w:firstLineChars="200"/>
        <w:rPr>
          <w:color w:val="auto"/>
          <w:highlight w:val="none"/>
        </w:rPr>
      </w:pPr>
      <w:r>
        <w:rPr>
          <w:rFonts w:hint="eastAsia"/>
          <w:color w:val="auto"/>
          <w:highlight w:val="none"/>
        </w:rPr>
        <w:t>承包人采取合理措施防止损失扩大</w:t>
      </w:r>
    </w:p>
    <w:p>
      <w:pPr>
        <w:pStyle w:val="7"/>
        <w:numPr>
          <w:ilvl w:val="2"/>
          <w:numId w:val="6"/>
        </w:numPr>
        <w:ind w:left="0" w:firstLine="420" w:firstLineChars="200"/>
        <w:rPr>
          <w:color w:val="auto"/>
          <w:highlight w:val="none"/>
        </w:rPr>
      </w:pPr>
      <w:r>
        <w:rPr>
          <w:rFonts w:hint="eastAsia"/>
          <w:color w:val="auto"/>
          <w:highlight w:val="none"/>
        </w:rPr>
        <w:t>无论任何原因，在工程暂停的情况下，承包人应采取合理措施，避免损失的进一步扩大。该等合理措施包括，在工程暂停期间，妥善保管已完工程，合理安排驻守工地的施工人员和机械，具体方案承包人需报经发包人和监理人批准后实施。一旦合同当事人双方对于窝工损失发生争议，则承包人应当证明其采取了所有可能采取的合理措施以避免损失扩大，并应当提供书面的记录或文件予以佐证。</w:t>
      </w:r>
    </w:p>
    <w:p>
      <w:pPr>
        <w:pStyle w:val="5"/>
        <w:numPr>
          <w:ilvl w:val="0"/>
          <w:numId w:val="6"/>
        </w:numPr>
        <w:ind w:left="0" w:firstLine="562" w:firstLineChars="200"/>
        <w:rPr>
          <w:color w:val="auto"/>
          <w:highlight w:val="none"/>
        </w:rPr>
      </w:pPr>
      <w:bookmarkStart w:id="121" w:name="_Toc33448386"/>
      <w:bookmarkStart w:id="122" w:name="_Toc464649546"/>
      <w:bookmarkStart w:id="123" w:name="_Toc133502181"/>
      <w:bookmarkStart w:id="124" w:name="_Toc770"/>
      <w:bookmarkStart w:id="125" w:name="_Toc33445881"/>
      <w:bookmarkStart w:id="126" w:name="_Toc33445956"/>
      <w:bookmarkStart w:id="127" w:name="_Toc33448457"/>
      <w:bookmarkStart w:id="128" w:name="_Toc33092169"/>
      <w:bookmarkStart w:id="129" w:name="_Toc33446059"/>
      <w:r>
        <w:rPr>
          <w:rFonts w:hint="eastAsia"/>
          <w:color w:val="auto"/>
          <w:highlight w:val="none"/>
        </w:rPr>
        <w:t>工程质量</w:t>
      </w:r>
      <w:bookmarkEnd w:id="121"/>
      <w:bookmarkEnd w:id="122"/>
      <w:bookmarkEnd w:id="123"/>
      <w:bookmarkEnd w:id="124"/>
      <w:bookmarkEnd w:id="125"/>
      <w:bookmarkEnd w:id="126"/>
      <w:bookmarkEnd w:id="127"/>
      <w:bookmarkEnd w:id="128"/>
      <w:bookmarkEnd w:id="129"/>
    </w:p>
    <w:p>
      <w:pPr>
        <w:pStyle w:val="6"/>
        <w:numPr>
          <w:ilvl w:val="1"/>
          <w:numId w:val="6"/>
        </w:numPr>
        <w:ind w:left="0" w:firstLine="422" w:firstLineChars="200"/>
        <w:rPr>
          <w:color w:val="auto"/>
          <w:highlight w:val="none"/>
        </w:rPr>
      </w:pPr>
      <w:r>
        <w:rPr>
          <w:rFonts w:hint="eastAsia"/>
          <w:color w:val="auto"/>
          <w:highlight w:val="none"/>
        </w:rPr>
        <w:t>工程质量要求</w:t>
      </w:r>
    </w:p>
    <w:p>
      <w:pPr>
        <w:pStyle w:val="7"/>
        <w:numPr>
          <w:ilvl w:val="2"/>
          <w:numId w:val="6"/>
        </w:numPr>
        <w:ind w:left="0" w:firstLine="420" w:firstLineChars="200"/>
        <w:rPr>
          <w:color w:val="auto"/>
          <w:highlight w:val="none"/>
        </w:rPr>
      </w:pPr>
      <w:r>
        <w:rPr>
          <w:rFonts w:hint="eastAsia"/>
          <w:color w:val="auto"/>
          <w:highlight w:val="none"/>
        </w:rPr>
        <w:t>工程质量验收按合同专用条款和法律法规规章、规范性文件规定的验收标准执行。</w:t>
      </w:r>
    </w:p>
    <w:p>
      <w:pPr>
        <w:pStyle w:val="7"/>
        <w:numPr>
          <w:ilvl w:val="2"/>
          <w:numId w:val="6"/>
        </w:numPr>
        <w:ind w:left="0" w:firstLine="420" w:firstLineChars="200"/>
        <w:rPr>
          <w:color w:val="auto"/>
          <w:highlight w:val="none"/>
        </w:rPr>
      </w:pPr>
      <w:r>
        <w:rPr>
          <w:rFonts w:hint="eastAsia"/>
          <w:color w:val="auto"/>
          <w:highlight w:val="none"/>
        </w:rPr>
        <w:t>因承包人原因造成工程质量达不到合同约定验收标准的，监理人有权要求承包人返工直至符合合同要求为止，由此造成的费用增加和（或）工期延误由承包人承担。</w:t>
      </w:r>
    </w:p>
    <w:p>
      <w:pPr>
        <w:pStyle w:val="6"/>
        <w:numPr>
          <w:ilvl w:val="1"/>
          <w:numId w:val="6"/>
        </w:numPr>
        <w:ind w:left="0" w:firstLine="422" w:firstLineChars="200"/>
        <w:rPr>
          <w:color w:val="auto"/>
          <w:highlight w:val="none"/>
        </w:rPr>
      </w:pPr>
      <w:r>
        <w:rPr>
          <w:rFonts w:hint="eastAsia"/>
          <w:color w:val="auto"/>
          <w:highlight w:val="none"/>
        </w:rPr>
        <w:t>承包人的质量管理</w:t>
      </w:r>
    </w:p>
    <w:p>
      <w:pPr>
        <w:pStyle w:val="7"/>
        <w:numPr>
          <w:ilvl w:val="2"/>
          <w:numId w:val="6"/>
        </w:numPr>
        <w:ind w:left="0" w:firstLine="420" w:firstLineChars="200"/>
        <w:rPr>
          <w:color w:val="auto"/>
          <w:highlight w:val="none"/>
        </w:rPr>
      </w:pPr>
      <w:r>
        <w:rPr>
          <w:rFonts w:hint="eastAsia"/>
          <w:color w:val="auto"/>
          <w:highlight w:val="none"/>
        </w:rPr>
        <w:t xml:space="preserve">承包人应在施工场地设置专门的质量检查机构或人员，建立完善的质量检查制度。承包人应在合同约定的期限内，提交工程质量保证措施文件，包括质量检查机构或质量检查人员岗位责任、质检人员的组成、质量检查程序和实施细则等，报送监理人审批。 </w:t>
      </w:r>
    </w:p>
    <w:p>
      <w:pPr>
        <w:pStyle w:val="7"/>
        <w:numPr>
          <w:ilvl w:val="2"/>
          <w:numId w:val="6"/>
        </w:numPr>
        <w:ind w:left="0" w:firstLine="420" w:firstLineChars="200"/>
        <w:rPr>
          <w:color w:val="auto"/>
          <w:highlight w:val="none"/>
        </w:rPr>
      </w:pPr>
      <w:r>
        <w:rPr>
          <w:rFonts w:hint="eastAsia"/>
          <w:color w:val="auto"/>
          <w:highlight w:val="none"/>
        </w:rPr>
        <w:t>承包人应加强对施工人员的质量教育和技术培训，定期考核施工人员的劳动技能，严格执行规范和操作规程。</w:t>
      </w:r>
    </w:p>
    <w:p>
      <w:pPr>
        <w:pStyle w:val="6"/>
        <w:numPr>
          <w:ilvl w:val="1"/>
          <w:numId w:val="6"/>
        </w:numPr>
        <w:ind w:left="0" w:firstLine="422" w:firstLineChars="200"/>
        <w:rPr>
          <w:color w:val="auto"/>
          <w:highlight w:val="none"/>
        </w:rPr>
      </w:pPr>
      <w:r>
        <w:rPr>
          <w:rFonts w:hint="eastAsia"/>
          <w:color w:val="auto"/>
          <w:highlight w:val="none"/>
        </w:rPr>
        <w:t>承包人的质量检查</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承包人应按合同约定对材料、工程设备以及工程的所有部位及其施工工艺进行全过程的质量检查和检验，并作详细记录，编制工程质量报表，报送监理人审查。</w:t>
      </w:r>
    </w:p>
    <w:p>
      <w:pPr>
        <w:pStyle w:val="6"/>
        <w:numPr>
          <w:ilvl w:val="1"/>
          <w:numId w:val="6"/>
        </w:numPr>
        <w:ind w:left="0" w:firstLine="422" w:firstLineChars="200"/>
        <w:rPr>
          <w:color w:val="auto"/>
          <w:highlight w:val="none"/>
        </w:rPr>
      </w:pPr>
      <w:r>
        <w:rPr>
          <w:rFonts w:hint="eastAsia"/>
          <w:color w:val="auto"/>
          <w:highlight w:val="none"/>
        </w:rPr>
        <w:tab/>
      </w:r>
      <w:r>
        <w:rPr>
          <w:rFonts w:hint="eastAsia"/>
          <w:color w:val="auto"/>
          <w:highlight w:val="none"/>
        </w:rPr>
        <w:t>监理人的质量检查</w:t>
      </w:r>
    </w:p>
    <w:p>
      <w:pPr>
        <w:pStyle w:val="7"/>
        <w:numPr>
          <w:ilvl w:val="2"/>
          <w:numId w:val="6"/>
        </w:numPr>
        <w:ind w:left="0" w:firstLine="420" w:firstLineChars="200"/>
        <w:rPr>
          <w:color w:val="auto"/>
          <w:highlight w:val="none"/>
        </w:rPr>
      </w:pPr>
      <w:r>
        <w:rPr>
          <w:rFonts w:hint="eastAsia"/>
          <w:color w:val="auto"/>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
        <w:numPr>
          <w:ilvl w:val="1"/>
          <w:numId w:val="6"/>
        </w:numPr>
        <w:ind w:left="0" w:firstLine="422" w:firstLineChars="200"/>
        <w:rPr>
          <w:color w:val="auto"/>
          <w:highlight w:val="none"/>
        </w:rPr>
      </w:pPr>
      <w:r>
        <w:rPr>
          <w:rFonts w:hint="eastAsia"/>
          <w:color w:val="auto"/>
          <w:highlight w:val="none"/>
        </w:rPr>
        <w:t>工程隐蔽部位覆盖前的检查</w:t>
      </w:r>
    </w:p>
    <w:p>
      <w:pPr>
        <w:pStyle w:val="7"/>
        <w:numPr>
          <w:ilvl w:val="2"/>
          <w:numId w:val="6"/>
        </w:numPr>
        <w:ind w:left="0" w:firstLine="420" w:firstLineChars="200"/>
        <w:rPr>
          <w:rFonts w:hAnsi="宋体"/>
          <w:color w:val="auto"/>
          <w:highlight w:val="none"/>
        </w:rPr>
      </w:pPr>
      <w:r>
        <w:rPr>
          <w:rFonts w:hint="eastAsia" w:hAnsi="宋体"/>
          <w:color w:val="auto"/>
          <w:highlight w:val="none"/>
        </w:rPr>
        <w:t>通知监理人检查</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经承包人自检确认的工程隐蔽部位具备覆盖条件后，承包人应通知监理人在约定的期限内检查</w:t>
      </w:r>
      <w:r>
        <w:rPr>
          <w:rFonts w:hint="eastAsia"/>
          <w:color w:val="auto"/>
          <w:highlight w:val="none"/>
        </w:rPr>
        <w:t>并通知发包人到场</w:t>
      </w:r>
      <w:r>
        <w:rPr>
          <w:rFonts w:hint="eastAsia" w:ascii="宋体" w:hAnsi="宋体"/>
          <w:color w:val="auto"/>
          <w:highlight w:val="none"/>
        </w:rPr>
        <w:t>。除专用合同条款另有规定外，承包人应在共同检查前48小时书面通知发包人和监理人。承包人的通知应附有自检记录和必要的检查资料。监理人应按时到场检查并通知发包人到场，经发包人、监理人共同检查确认质量符合隐蔽要求，并在检查记录上签字后，承包人才能进行覆盖。如发包人或监理人检查确认质量不合格的，承包人应在监理人指示的时间内完成修复，并通知监理人重新检查。</w:t>
      </w:r>
    </w:p>
    <w:p>
      <w:pPr>
        <w:pStyle w:val="7"/>
        <w:numPr>
          <w:ilvl w:val="2"/>
          <w:numId w:val="6"/>
        </w:numPr>
        <w:ind w:left="0" w:firstLine="420" w:firstLineChars="200"/>
        <w:rPr>
          <w:rFonts w:hAnsi="宋体"/>
          <w:color w:val="auto"/>
          <w:highlight w:val="none"/>
        </w:rPr>
      </w:pPr>
      <w:r>
        <w:rPr>
          <w:rFonts w:hint="eastAsia" w:hAnsi="宋体"/>
          <w:color w:val="auto"/>
          <w:highlight w:val="none"/>
        </w:rPr>
        <w:t>监理人未到场检查</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监理人未按第13.5.1项约定的时间到场检查的，除监理人另有指示外，承包人</w:t>
      </w:r>
      <w:r>
        <w:rPr>
          <w:rFonts w:hint="eastAsia"/>
          <w:color w:val="auto"/>
          <w:highlight w:val="none"/>
        </w:rPr>
        <w:t>须在发包人在场的情况下自行完成覆盖工作（发包人在场并不视同发包人对该隐蔽部位质量的认可，同时不免除承包人按合同约定应负的责任）</w:t>
      </w:r>
      <w:r>
        <w:rPr>
          <w:rFonts w:hint="eastAsia" w:ascii="宋体" w:hAnsi="宋体"/>
          <w:color w:val="auto"/>
          <w:highlight w:val="none"/>
        </w:rPr>
        <w:t>，并作相应记录报送监理人，监理人应签字确认。监理人事后对检查记录有疑问的，可按第13.5.3项的约定重新检查。</w:t>
      </w:r>
    </w:p>
    <w:p>
      <w:pPr>
        <w:pStyle w:val="7"/>
        <w:numPr>
          <w:ilvl w:val="2"/>
          <w:numId w:val="6"/>
        </w:numPr>
        <w:ind w:left="0" w:firstLine="420" w:firstLineChars="200"/>
        <w:rPr>
          <w:rFonts w:hAnsi="宋体"/>
          <w:color w:val="auto"/>
          <w:highlight w:val="none"/>
        </w:rPr>
      </w:pPr>
      <w:r>
        <w:rPr>
          <w:rFonts w:hint="eastAsia" w:hAnsi="宋体"/>
          <w:color w:val="auto"/>
          <w:highlight w:val="none"/>
        </w:rPr>
        <w:t>监理人重新检查</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承包人按第13.5.1项或第13.5.2项覆盖工程隐蔽部位后，监理人对质量有疑问的，经发包人同意后,可要求承包人对已覆盖的部位进行钻孔探测或揭开重新检验，承包人应遵照执行，并在检验后重新覆盖恢复原状。重新检查时，承包人应通知发包人到场，经检验证明工程质量符合合同要求的，由发包人承担由此增加的费用和（或）工期延误；经检验证明工程质量不符合合同要求的，由此增加的费用和（或）工期延误由承包人承担，如果因此给发包人造成损失，承包人应当全额赔偿。</w:t>
      </w:r>
    </w:p>
    <w:p>
      <w:pPr>
        <w:pStyle w:val="7"/>
        <w:numPr>
          <w:ilvl w:val="2"/>
          <w:numId w:val="6"/>
        </w:numPr>
        <w:ind w:left="0" w:firstLine="420" w:firstLineChars="200"/>
        <w:rPr>
          <w:rFonts w:hAnsi="宋体"/>
          <w:color w:val="auto"/>
          <w:highlight w:val="none"/>
        </w:rPr>
      </w:pPr>
      <w:r>
        <w:rPr>
          <w:rFonts w:hint="eastAsia"/>
          <w:color w:val="auto"/>
          <w:highlight w:val="none"/>
        </w:rPr>
        <w:t>承包人</w:t>
      </w:r>
      <w:r>
        <w:rPr>
          <w:rFonts w:hint="eastAsia" w:hAnsi="宋体"/>
          <w:color w:val="auto"/>
          <w:highlight w:val="none"/>
        </w:rPr>
        <w:t>私自覆盖</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承包人未通知监理人到场检查，私自将工程隐蔽部位覆盖的，监理人有权指示承包人钻孔探测或揭开检查，由此增加的费用和（或）工期延误由承包人承担，如果因此给发包人造成损失，承包人应当全额赔偿。</w:t>
      </w:r>
    </w:p>
    <w:p>
      <w:pPr>
        <w:pStyle w:val="6"/>
        <w:numPr>
          <w:ilvl w:val="1"/>
          <w:numId w:val="6"/>
        </w:numPr>
        <w:ind w:left="0" w:firstLine="422" w:firstLineChars="200"/>
        <w:rPr>
          <w:color w:val="auto"/>
          <w:highlight w:val="none"/>
        </w:rPr>
      </w:pPr>
      <w:r>
        <w:rPr>
          <w:rFonts w:hint="eastAsia"/>
          <w:color w:val="auto"/>
          <w:highlight w:val="none"/>
        </w:rPr>
        <w:t>清除不合格工程</w:t>
      </w:r>
    </w:p>
    <w:p>
      <w:pPr>
        <w:pStyle w:val="7"/>
        <w:numPr>
          <w:ilvl w:val="2"/>
          <w:numId w:val="6"/>
        </w:numPr>
        <w:ind w:left="0" w:firstLine="420" w:firstLineChars="200"/>
        <w:rPr>
          <w:color w:val="auto"/>
          <w:highlight w:val="none"/>
        </w:rPr>
      </w:pPr>
      <w:r>
        <w:rPr>
          <w:rFonts w:hint="eastAsia"/>
          <w:color w:val="auto"/>
          <w:highlight w:val="none"/>
        </w:rPr>
        <w:tab/>
      </w:r>
      <w:r>
        <w:rPr>
          <w:rFonts w:hint="eastAsia"/>
          <w:color w:val="auto"/>
          <w:highlight w:val="none"/>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如果因此给发包人造成损失，承包人应当全额赔偿。</w:t>
      </w:r>
    </w:p>
    <w:p>
      <w:pPr>
        <w:pStyle w:val="5"/>
        <w:numPr>
          <w:ilvl w:val="0"/>
          <w:numId w:val="6"/>
        </w:numPr>
        <w:ind w:left="0" w:firstLine="562" w:firstLineChars="200"/>
        <w:rPr>
          <w:color w:val="auto"/>
          <w:highlight w:val="none"/>
        </w:rPr>
      </w:pPr>
      <w:bookmarkStart w:id="130" w:name="_Toc33445957"/>
      <w:bookmarkStart w:id="131" w:name="_Toc33448387"/>
      <w:bookmarkStart w:id="132" w:name="_Toc20138"/>
      <w:bookmarkStart w:id="133" w:name="_Toc33445882"/>
      <w:bookmarkStart w:id="134" w:name="_Toc33446060"/>
      <w:bookmarkStart w:id="135" w:name="_Toc464649547"/>
      <w:bookmarkStart w:id="136" w:name="_Toc33092170"/>
      <w:bookmarkStart w:id="137" w:name="_Toc33448458"/>
      <w:bookmarkStart w:id="138" w:name="_Toc133502182"/>
      <w:r>
        <w:rPr>
          <w:rFonts w:hint="eastAsia"/>
          <w:color w:val="auto"/>
          <w:highlight w:val="none"/>
        </w:rPr>
        <w:t>试验和检验</w:t>
      </w:r>
      <w:bookmarkEnd w:id="130"/>
      <w:bookmarkEnd w:id="131"/>
      <w:bookmarkEnd w:id="132"/>
      <w:bookmarkEnd w:id="133"/>
      <w:bookmarkEnd w:id="134"/>
      <w:bookmarkEnd w:id="135"/>
      <w:bookmarkEnd w:id="136"/>
      <w:bookmarkEnd w:id="137"/>
      <w:bookmarkEnd w:id="138"/>
    </w:p>
    <w:p>
      <w:pPr>
        <w:pStyle w:val="6"/>
        <w:numPr>
          <w:ilvl w:val="1"/>
          <w:numId w:val="6"/>
        </w:numPr>
        <w:ind w:left="0" w:firstLine="422" w:firstLineChars="200"/>
        <w:rPr>
          <w:color w:val="auto"/>
          <w:highlight w:val="none"/>
        </w:rPr>
      </w:pPr>
      <w:r>
        <w:rPr>
          <w:rFonts w:hint="eastAsia"/>
          <w:color w:val="auto"/>
          <w:highlight w:val="none"/>
        </w:rPr>
        <w:t>材料、工程设备和工程的试验和检验</w:t>
      </w:r>
    </w:p>
    <w:p>
      <w:pPr>
        <w:pStyle w:val="7"/>
        <w:numPr>
          <w:ilvl w:val="2"/>
          <w:numId w:val="6"/>
        </w:numPr>
        <w:ind w:left="0" w:firstLine="420" w:firstLineChars="200"/>
        <w:rPr>
          <w:color w:val="auto"/>
          <w:highlight w:val="none"/>
        </w:rPr>
      </w:pPr>
      <w:r>
        <w:rPr>
          <w:rFonts w:hint="eastAsia"/>
          <w:color w:val="auto"/>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7"/>
        <w:numPr>
          <w:ilvl w:val="2"/>
          <w:numId w:val="6"/>
        </w:numPr>
        <w:ind w:left="0" w:firstLine="420" w:firstLineChars="200"/>
        <w:rPr>
          <w:color w:val="auto"/>
          <w:highlight w:val="none"/>
        </w:rPr>
      </w:pPr>
      <w:r>
        <w:rPr>
          <w:rFonts w:hint="eastAsia"/>
          <w:color w:val="auto"/>
          <w:highlight w:val="none"/>
        </w:rPr>
        <w:t>监理人未按合同约定派员参加试验和检验的，除监理人另有指示外，承包人可自行试验和检验，并应立即将试验和检验结果报送监理人，监理人应签字确认。</w:t>
      </w:r>
    </w:p>
    <w:p>
      <w:pPr>
        <w:pStyle w:val="7"/>
        <w:numPr>
          <w:ilvl w:val="2"/>
          <w:numId w:val="6"/>
        </w:numPr>
        <w:ind w:left="0" w:firstLine="420" w:firstLineChars="200"/>
        <w:rPr>
          <w:color w:val="auto"/>
          <w:highlight w:val="none"/>
        </w:rPr>
      </w:pPr>
      <w:r>
        <w:rPr>
          <w:rFonts w:hint="eastAsia"/>
          <w:color w:val="auto"/>
          <w:highlight w:val="none"/>
        </w:rPr>
        <w:t>监理人对承包人的试验和检验结果有疑问的，或为查清承包人试验和检验成果的可靠性的，经发包人同意后,可要求承包人重新试验和检验的。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pPr>
        <w:pStyle w:val="6"/>
        <w:numPr>
          <w:ilvl w:val="1"/>
          <w:numId w:val="6"/>
        </w:numPr>
        <w:ind w:left="0" w:firstLine="422" w:firstLineChars="200"/>
        <w:rPr>
          <w:color w:val="auto"/>
          <w:highlight w:val="none"/>
        </w:rPr>
      </w:pPr>
      <w:r>
        <w:rPr>
          <w:rFonts w:hint="eastAsia"/>
          <w:color w:val="auto"/>
          <w:highlight w:val="none"/>
        </w:rPr>
        <w:t>现场材料试验</w:t>
      </w:r>
    </w:p>
    <w:p>
      <w:pPr>
        <w:pStyle w:val="7"/>
        <w:numPr>
          <w:ilvl w:val="2"/>
          <w:numId w:val="6"/>
        </w:numPr>
        <w:ind w:left="0" w:firstLine="420" w:firstLineChars="200"/>
        <w:rPr>
          <w:color w:val="auto"/>
          <w:highlight w:val="none"/>
        </w:rPr>
      </w:pPr>
      <w:r>
        <w:rPr>
          <w:rFonts w:hint="eastAsia"/>
          <w:color w:val="auto"/>
          <w:highlight w:val="none"/>
        </w:rPr>
        <w:t>承包人根据合同约定或监理人指示进行的现场材料试验，应由承包人提供试验场所、试验人员、试验设备器材以及其他必要的试验条件。</w:t>
      </w:r>
    </w:p>
    <w:p>
      <w:pPr>
        <w:pStyle w:val="7"/>
        <w:numPr>
          <w:ilvl w:val="2"/>
          <w:numId w:val="6"/>
        </w:numPr>
        <w:ind w:left="0" w:firstLine="420" w:firstLineChars="200"/>
        <w:rPr>
          <w:color w:val="auto"/>
          <w:highlight w:val="none"/>
        </w:rPr>
      </w:pPr>
      <w:r>
        <w:rPr>
          <w:rFonts w:hint="eastAsia"/>
          <w:color w:val="auto"/>
          <w:highlight w:val="none"/>
        </w:rPr>
        <w:t>监理人在必要时可以使用承包人的试验场所、试验设备器材以及其他试验条件，进行以工程质量检查为目的的复核性材料试验，承包人应予以协助。</w:t>
      </w:r>
    </w:p>
    <w:p>
      <w:pPr>
        <w:pStyle w:val="6"/>
        <w:numPr>
          <w:ilvl w:val="1"/>
          <w:numId w:val="6"/>
        </w:numPr>
        <w:ind w:left="0" w:firstLine="422" w:firstLineChars="200"/>
        <w:rPr>
          <w:color w:val="auto"/>
          <w:highlight w:val="none"/>
        </w:rPr>
      </w:pPr>
      <w:r>
        <w:rPr>
          <w:rFonts w:hint="eastAsia"/>
          <w:color w:val="auto"/>
          <w:highlight w:val="none"/>
        </w:rPr>
        <w:tab/>
      </w:r>
      <w:r>
        <w:rPr>
          <w:rFonts w:hint="eastAsia"/>
          <w:color w:val="auto"/>
          <w:highlight w:val="none"/>
        </w:rPr>
        <w:t>现场工艺试验</w:t>
      </w:r>
    </w:p>
    <w:p>
      <w:pPr>
        <w:pStyle w:val="7"/>
        <w:numPr>
          <w:ilvl w:val="2"/>
          <w:numId w:val="6"/>
        </w:numPr>
        <w:ind w:left="0" w:firstLine="420" w:firstLineChars="200"/>
        <w:rPr>
          <w:color w:val="auto"/>
          <w:highlight w:val="none"/>
        </w:rPr>
      </w:pPr>
      <w:r>
        <w:rPr>
          <w:rFonts w:hint="eastAsia"/>
          <w:color w:val="auto"/>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6"/>
        <w:numPr>
          <w:ilvl w:val="1"/>
          <w:numId w:val="6"/>
        </w:numPr>
        <w:ind w:left="0" w:firstLine="422" w:firstLineChars="200"/>
        <w:rPr>
          <w:color w:val="auto"/>
          <w:highlight w:val="none"/>
        </w:rPr>
      </w:pPr>
      <w:r>
        <w:rPr>
          <w:rFonts w:hint="eastAsia"/>
          <w:color w:val="auto"/>
          <w:highlight w:val="none"/>
        </w:rPr>
        <w:t>发包人提供的材料和工程设备的试验和检验</w:t>
      </w:r>
    </w:p>
    <w:p>
      <w:pPr>
        <w:pStyle w:val="7"/>
        <w:numPr>
          <w:ilvl w:val="2"/>
          <w:numId w:val="6"/>
        </w:numPr>
        <w:ind w:left="0" w:firstLine="420" w:firstLineChars="200"/>
        <w:rPr>
          <w:color w:val="auto"/>
          <w:highlight w:val="none"/>
        </w:rPr>
      </w:pPr>
      <w:r>
        <w:rPr>
          <w:rFonts w:hint="eastAsia"/>
          <w:color w:val="auto"/>
          <w:highlight w:val="none"/>
        </w:rPr>
        <w:t>发包人提供的材料和工程设备到货后，发包人、监理人及承包人共同验收时，由发包人负责提供该材料和工程设备的合格证明及其他国家规范标准要求的必要产品质量证明文件及检验试验合格证明文件。承包人需对发包人提供的材料设备质量证明文件进行核查，以确保其满足工程规范和合同质量要求。若承包人对发包人所供材料和工程设备质量、安全及性能等提出质疑要求重新检验试验时，由发包人、监理人与承包人共同进行。重新试验和检验的结果证明该项材料和工程设备的质量、安全及性能不符合合同及规范标准要求的，由此增加的费用和延误的工期由发包人承担，如果因此给承包人造成损失，发包人应当全额赔偿；重新试验和检验的结果证明该项材料设备的质量、安全及性能符合合同及规范标准要求的，由承包人承担由此增加的费用和延误的工期，如果因此给发包人造成损失，承包人应当全额赔偿。</w:t>
      </w:r>
    </w:p>
    <w:p>
      <w:pPr>
        <w:pStyle w:val="5"/>
        <w:numPr>
          <w:ilvl w:val="0"/>
          <w:numId w:val="6"/>
        </w:numPr>
        <w:ind w:left="0" w:firstLine="562" w:firstLineChars="200"/>
        <w:rPr>
          <w:color w:val="auto"/>
          <w:highlight w:val="none"/>
        </w:rPr>
      </w:pPr>
      <w:bookmarkStart w:id="139" w:name="_Toc133502183"/>
      <w:bookmarkStart w:id="140" w:name="_Toc33448459"/>
      <w:bookmarkStart w:id="141" w:name="_Toc33445958"/>
      <w:bookmarkStart w:id="142" w:name="_Toc6139"/>
      <w:bookmarkStart w:id="143" w:name="_Toc464649548"/>
      <w:bookmarkStart w:id="144" w:name="_Toc33445883"/>
      <w:bookmarkStart w:id="145" w:name="_Toc33448388"/>
      <w:bookmarkStart w:id="146" w:name="_Toc33446061"/>
      <w:bookmarkStart w:id="147" w:name="_Toc33092171"/>
      <w:r>
        <w:rPr>
          <w:rFonts w:hint="eastAsia"/>
          <w:color w:val="auto"/>
          <w:highlight w:val="none"/>
        </w:rPr>
        <w:t>变更</w:t>
      </w:r>
      <w:bookmarkEnd w:id="139"/>
      <w:bookmarkEnd w:id="140"/>
      <w:bookmarkEnd w:id="141"/>
      <w:bookmarkEnd w:id="142"/>
      <w:bookmarkEnd w:id="143"/>
      <w:bookmarkEnd w:id="144"/>
      <w:bookmarkEnd w:id="145"/>
      <w:bookmarkEnd w:id="146"/>
      <w:bookmarkEnd w:id="147"/>
    </w:p>
    <w:p>
      <w:pPr>
        <w:pStyle w:val="6"/>
        <w:numPr>
          <w:ilvl w:val="1"/>
          <w:numId w:val="6"/>
        </w:numPr>
        <w:ind w:left="0" w:firstLine="422" w:firstLineChars="200"/>
        <w:rPr>
          <w:color w:val="auto"/>
          <w:highlight w:val="none"/>
        </w:rPr>
      </w:pPr>
      <w:r>
        <w:rPr>
          <w:rFonts w:hint="eastAsia"/>
          <w:color w:val="auto"/>
          <w:highlight w:val="none"/>
        </w:rPr>
        <w:t>变更程序</w:t>
      </w:r>
    </w:p>
    <w:p>
      <w:pPr>
        <w:pStyle w:val="7"/>
        <w:numPr>
          <w:ilvl w:val="2"/>
          <w:numId w:val="6"/>
        </w:numPr>
        <w:rPr>
          <w:color w:val="auto"/>
          <w:highlight w:val="none"/>
        </w:rPr>
      </w:pPr>
      <w:r>
        <w:rPr>
          <w:rFonts w:hint="eastAsia"/>
          <w:color w:val="auto"/>
          <w:highlight w:val="none"/>
        </w:rPr>
        <w:t>施工中发包人需对原工程进行变更时，应提前以书面形式向承包人发出变更通知，并提供变更的相应图纸和（或）说明。承包人应当按照发包人发出的变更通知及有关要求实施变更。承包人不得以指示所涉及的费用未确定为由不执行或拖延执行。当承包人接到发包人的指示后三（3）天内，承包人仍未开始执行有关的工作（按工程实际情况不可能立即执行的除外），发包人可雇用第三人代为执行，承包人应承担发包人雇佣第三人所造成的价差，同时需按专用条款的约定承担违约责任。发包人可从应支付或将会支付给承包人的款项中扣回或当作债务向承包人追讨。</w:t>
      </w:r>
    </w:p>
    <w:p>
      <w:pPr>
        <w:pStyle w:val="7"/>
        <w:numPr>
          <w:ilvl w:val="2"/>
          <w:numId w:val="6"/>
        </w:numPr>
        <w:rPr>
          <w:color w:val="auto"/>
          <w:highlight w:val="none"/>
        </w:rPr>
      </w:pPr>
      <w:r>
        <w:rPr>
          <w:rFonts w:hint="eastAsia"/>
          <w:color w:val="auto"/>
          <w:highlight w:val="none"/>
        </w:rPr>
        <w:t xml:space="preserve"> 承包人进场之前，发包人将书面通知承包人签证流程、签证单格式，双方应遵照执行。</w:t>
      </w:r>
    </w:p>
    <w:p>
      <w:pPr>
        <w:pStyle w:val="7"/>
        <w:numPr>
          <w:ilvl w:val="2"/>
          <w:numId w:val="6"/>
        </w:numPr>
        <w:rPr>
          <w:color w:val="auto"/>
          <w:highlight w:val="none"/>
        </w:rPr>
      </w:pPr>
      <w:r>
        <w:rPr>
          <w:color w:val="auto"/>
          <w:highlight w:val="none"/>
        </w:rPr>
        <w:t xml:space="preserve"> </w:t>
      </w:r>
      <w:r>
        <w:rPr>
          <w:rFonts w:hint="eastAsia"/>
          <w:color w:val="auto"/>
          <w:highlight w:val="none"/>
        </w:rPr>
        <w:t>发包人有权发出指令要求变更，承包人不得拒绝。除得到发包人书面指令外，承包人不能擅自做出变更。任何发包人要求的、随后追认的变更皆不会使本合同失效。</w:t>
      </w:r>
    </w:p>
    <w:p>
      <w:pPr>
        <w:pStyle w:val="7"/>
        <w:numPr>
          <w:ilvl w:val="2"/>
          <w:numId w:val="6"/>
        </w:numPr>
        <w:rPr>
          <w:color w:val="auto"/>
          <w:highlight w:val="none"/>
        </w:rPr>
      </w:pPr>
      <w:r>
        <w:rPr>
          <w:rFonts w:hint="eastAsia"/>
          <w:color w:val="auto"/>
          <w:highlight w:val="none"/>
        </w:rPr>
        <w:tab/>
      </w:r>
      <w:r>
        <w:rPr>
          <w:rFonts w:hint="eastAsia"/>
          <w:color w:val="auto"/>
          <w:highlight w:val="none"/>
        </w:rPr>
        <w:t>如承包人超出合同文件的要求进行施工，则无论本工程是否通过了竣工验收，均不能认为发包人同意支付该等超出合同文件的要求进行施工的费用，由此增加的费用和延误的工期均由承包人承担。</w:t>
      </w:r>
    </w:p>
    <w:p>
      <w:pPr>
        <w:pStyle w:val="7"/>
        <w:numPr>
          <w:ilvl w:val="2"/>
          <w:numId w:val="6"/>
        </w:numPr>
        <w:rPr>
          <w:color w:val="auto"/>
          <w:highlight w:val="none"/>
        </w:rPr>
      </w:pPr>
      <w:r>
        <w:rPr>
          <w:rFonts w:hint="eastAsia"/>
          <w:color w:val="auto"/>
          <w:highlight w:val="none"/>
        </w:rPr>
        <w:t>承包人采用或更改任何施工方案、施工工序、施工措施、施工工艺的，均不构成签证变更，由承包人承担由此增加的费用和延误的工期，即便发包人对前述方案、工序、措施和工艺进行了签证，也只是对技术的确认，发包人不因此而承担任何费用及工期延误的责任，如果因此给发包人造成损失，承包人应当全额赔偿。</w:t>
      </w:r>
    </w:p>
    <w:p>
      <w:pPr>
        <w:pStyle w:val="7"/>
        <w:numPr>
          <w:ilvl w:val="2"/>
          <w:numId w:val="6"/>
        </w:numPr>
        <w:rPr>
          <w:color w:val="auto"/>
          <w:highlight w:val="none"/>
        </w:rPr>
      </w:pPr>
      <w:r>
        <w:rPr>
          <w:rFonts w:hint="eastAsia"/>
          <w:color w:val="auto"/>
          <w:highlight w:val="none"/>
        </w:rPr>
        <w:t>按照指示完成变更及办理经济签证不得影响工程的连续施工。除非合同另有约定，承包人不得以发包人和承包人之间未能就变更、签证工作的计价达成一致而拒绝实施变更工作。</w:t>
      </w:r>
    </w:p>
    <w:p>
      <w:pPr>
        <w:pStyle w:val="7"/>
        <w:numPr>
          <w:ilvl w:val="2"/>
          <w:numId w:val="6"/>
        </w:numPr>
        <w:rPr>
          <w:color w:val="auto"/>
          <w:highlight w:val="none"/>
        </w:rPr>
      </w:pPr>
      <w:r>
        <w:rPr>
          <w:rFonts w:hint="eastAsia"/>
          <w:color w:val="auto"/>
          <w:highlight w:val="none"/>
        </w:rPr>
        <w:t>设计人提出的设计变更，必须经发包人批准后，并通知承包人才能按图进行施工，如设计变更未经发包人批准承包人安排施工，所需费用由承包人承担，且发包人有权提出拆除及恢复，承包人承担由此造成的费用；如设计变更未经发包人批准承包人安排施工，且设计变更不合理，其施工费用、恢复费用及由此造成的损失由承包人承担，同时承包人应按专用条款的约定承担违约责任。</w:t>
      </w:r>
    </w:p>
    <w:p>
      <w:pPr>
        <w:pStyle w:val="7"/>
        <w:ind w:left="1004"/>
        <w:rPr>
          <w:color w:val="auto"/>
          <w:highlight w:val="none"/>
        </w:rPr>
      </w:pPr>
      <w:r>
        <w:rPr>
          <w:rFonts w:hint="eastAsia"/>
          <w:color w:val="auto"/>
          <w:highlight w:val="none"/>
        </w:rPr>
        <w:t>15.2变更价款的确定</w:t>
      </w:r>
    </w:p>
    <w:p>
      <w:pPr>
        <w:pStyle w:val="7"/>
        <w:ind w:left="1004"/>
        <w:rPr>
          <w:color w:val="auto"/>
          <w:highlight w:val="none"/>
        </w:rPr>
      </w:pPr>
      <w:r>
        <w:rPr>
          <w:rFonts w:hint="eastAsia"/>
          <w:color w:val="auto"/>
          <w:highlight w:val="none"/>
        </w:rPr>
        <w:t>变更价款的确定在专用条款中说明。</w:t>
      </w:r>
    </w:p>
    <w:p>
      <w:pPr>
        <w:pStyle w:val="7"/>
        <w:ind w:left="284"/>
        <w:rPr>
          <w:color w:val="auto"/>
          <w:highlight w:val="none"/>
        </w:rPr>
      </w:pPr>
      <w:r>
        <w:rPr>
          <w:rFonts w:hint="eastAsia"/>
          <w:color w:val="auto"/>
          <w:highlight w:val="none"/>
        </w:rPr>
        <w:t>15.3.</w:t>
      </w:r>
      <w:r>
        <w:rPr>
          <w:rFonts w:hint="eastAsia"/>
          <w:color w:val="auto"/>
          <w:highlight w:val="none"/>
        </w:rPr>
        <w:tab/>
      </w:r>
      <w:r>
        <w:rPr>
          <w:rFonts w:hint="eastAsia"/>
          <w:color w:val="auto"/>
          <w:highlight w:val="none"/>
        </w:rPr>
        <w:t>承包人的合理化建议</w:t>
      </w:r>
    </w:p>
    <w:p>
      <w:pPr>
        <w:pStyle w:val="7"/>
        <w:ind w:left="284"/>
        <w:rPr>
          <w:color w:val="auto"/>
          <w:highlight w:val="none"/>
        </w:rPr>
      </w:pPr>
      <w:r>
        <w:rPr>
          <w:rFonts w:hint="eastAsia"/>
          <w:color w:val="auto"/>
          <w:highlight w:val="none"/>
        </w:rPr>
        <w:t>15.3.1.</w:t>
      </w:r>
      <w:r>
        <w:rPr>
          <w:rFonts w:hint="eastAsia"/>
          <w:color w:val="auto"/>
          <w:highlight w:val="none"/>
        </w:rPr>
        <w:tab/>
      </w:r>
      <w:r>
        <w:rPr>
          <w:rFonts w:hint="eastAsia"/>
          <w:color w:val="auto"/>
          <w:highlight w:val="none"/>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按照变更程序执行。</w:t>
      </w:r>
    </w:p>
    <w:p>
      <w:pPr>
        <w:pStyle w:val="7"/>
        <w:ind w:left="420"/>
        <w:rPr>
          <w:color w:val="auto"/>
          <w:highlight w:val="none"/>
        </w:rPr>
      </w:pPr>
      <w:r>
        <w:rPr>
          <w:rFonts w:hint="eastAsia"/>
          <w:color w:val="auto"/>
          <w:highlight w:val="none"/>
        </w:rPr>
        <w:t>15.3.2.</w:t>
      </w:r>
      <w:r>
        <w:rPr>
          <w:rFonts w:hint="eastAsia"/>
          <w:color w:val="auto"/>
          <w:highlight w:val="none"/>
        </w:rPr>
        <w:tab/>
      </w:r>
      <w:r>
        <w:rPr>
          <w:rFonts w:hint="eastAsia"/>
          <w:color w:val="auto"/>
          <w:highlight w:val="none"/>
        </w:rPr>
        <w:t>承包人在施工中提出的合理化建议涉及到对设计图纸或施工组织设计的更改及对材料、设备的替换，须经发包人同意。未经同意擅自更改或替换时，承包人承担由此发生的费用，并赔偿发包人的有关损失，延误的工期不予顺延。</w:t>
      </w:r>
    </w:p>
    <w:p>
      <w:pPr>
        <w:pStyle w:val="5"/>
        <w:numPr>
          <w:ilvl w:val="0"/>
          <w:numId w:val="6"/>
        </w:numPr>
        <w:ind w:left="0" w:firstLine="562" w:firstLineChars="200"/>
        <w:rPr>
          <w:color w:val="auto"/>
          <w:highlight w:val="none"/>
        </w:rPr>
      </w:pPr>
      <w:bookmarkStart w:id="148" w:name="_Toc33448389"/>
      <w:bookmarkStart w:id="149" w:name="_Toc33445959"/>
      <w:bookmarkStart w:id="150" w:name="_Toc33092172"/>
      <w:bookmarkStart w:id="151" w:name="_Toc29022"/>
      <w:bookmarkStart w:id="152" w:name="_Toc464649549"/>
      <w:bookmarkStart w:id="153" w:name="_Toc33446062"/>
      <w:bookmarkStart w:id="154" w:name="_Toc33448460"/>
      <w:bookmarkStart w:id="155" w:name="_Toc133502184"/>
      <w:bookmarkStart w:id="156" w:name="_Toc33445884"/>
      <w:r>
        <w:rPr>
          <w:rFonts w:hint="eastAsia"/>
          <w:color w:val="auto"/>
          <w:highlight w:val="none"/>
        </w:rPr>
        <w:t>价格调整</w:t>
      </w:r>
      <w:bookmarkEnd w:id="148"/>
      <w:bookmarkEnd w:id="149"/>
      <w:bookmarkEnd w:id="150"/>
      <w:bookmarkEnd w:id="151"/>
      <w:bookmarkEnd w:id="152"/>
      <w:bookmarkEnd w:id="153"/>
      <w:bookmarkEnd w:id="154"/>
      <w:bookmarkEnd w:id="155"/>
      <w:bookmarkEnd w:id="156"/>
    </w:p>
    <w:p>
      <w:pPr>
        <w:pStyle w:val="6"/>
        <w:numPr>
          <w:ilvl w:val="1"/>
          <w:numId w:val="6"/>
        </w:numPr>
        <w:ind w:left="0" w:firstLine="420" w:firstLineChars="200"/>
        <w:rPr>
          <w:b w:val="0"/>
          <w:color w:val="auto"/>
          <w:highlight w:val="none"/>
        </w:rPr>
      </w:pPr>
      <w:r>
        <w:rPr>
          <w:rFonts w:hint="eastAsia"/>
          <w:b w:val="0"/>
          <w:color w:val="auto"/>
          <w:highlight w:val="none"/>
        </w:rPr>
        <w:t>物价波动引起的价格调整</w:t>
      </w:r>
    </w:p>
    <w:p>
      <w:pPr>
        <w:spacing w:line="360" w:lineRule="auto"/>
        <w:ind w:firstLine="420" w:firstLineChars="200"/>
        <w:rPr>
          <w:color w:val="auto"/>
          <w:highlight w:val="none"/>
        </w:rPr>
      </w:pPr>
      <w:r>
        <w:rPr>
          <w:rFonts w:hint="eastAsia"/>
          <w:color w:val="auto"/>
          <w:highlight w:val="none"/>
        </w:rPr>
        <w:t>物价波动引起的价格调整在专用条款中说明。</w:t>
      </w:r>
    </w:p>
    <w:p>
      <w:pPr>
        <w:pStyle w:val="6"/>
        <w:numPr>
          <w:ilvl w:val="1"/>
          <w:numId w:val="6"/>
        </w:numPr>
        <w:ind w:left="0" w:firstLine="420" w:firstLineChars="200"/>
        <w:rPr>
          <w:b w:val="0"/>
          <w:color w:val="auto"/>
          <w:highlight w:val="none"/>
        </w:rPr>
      </w:pPr>
      <w:r>
        <w:rPr>
          <w:rFonts w:hint="eastAsia"/>
          <w:b w:val="0"/>
          <w:color w:val="auto"/>
          <w:highlight w:val="none"/>
        </w:rPr>
        <w:t>价格不予调整的情形</w:t>
      </w:r>
    </w:p>
    <w:p>
      <w:pPr>
        <w:spacing w:line="360" w:lineRule="auto"/>
        <w:ind w:firstLine="420" w:firstLineChars="200"/>
        <w:rPr>
          <w:color w:val="auto"/>
          <w:highlight w:val="none"/>
        </w:rPr>
      </w:pPr>
      <w:r>
        <w:rPr>
          <w:rFonts w:hint="eastAsia"/>
          <w:color w:val="auto"/>
          <w:highlight w:val="none"/>
        </w:rPr>
        <w:t>价格不予调整的情形在专用条款中说明。</w:t>
      </w:r>
    </w:p>
    <w:p>
      <w:pPr>
        <w:pStyle w:val="6"/>
        <w:numPr>
          <w:ilvl w:val="1"/>
          <w:numId w:val="6"/>
        </w:numPr>
        <w:ind w:left="0" w:firstLine="420" w:firstLineChars="200"/>
        <w:rPr>
          <w:b w:val="0"/>
          <w:color w:val="auto"/>
          <w:highlight w:val="none"/>
        </w:rPr>
      </w:pPr>
      <w:r>
        <w:rPr>
          <w:rFonts w:hint="eastAsia"/>
          <w:b w:val="0"/>
          <w:color w:val="auto"/>
          <w:highlight w:val="none"/>
        </w:rPr>
        <w:t>价格调整的补充说明</w:t>
      </w:r>
    </w:p>
    <w:p>
      <w:pPr>
        <w:spacing w:line="360" w:lineRule="auto"/>
        <w:ind w:firstLine="420" w:firstLineChars="200"/>
        <w:rPr>
          <w:color w:val="auto"/>
          <w:highlight w:val="none"/>
        </w:rPr>
      </w:pPr>
      <w:r>
        <w:rPr>
          <w:rFonts w:hint="eastAsia"/>
          <w:color w:val="auto"/>
          <w:highlight w:val="none"/>
        </w:rPr>
        <w:t>价格调整的补充说明在专用条款中说明。</w:t>
      </w:r>
    </w:p>
    <w:p>
      <w:pPr>
        <w:pStyle w:val="5"/>
        <w:numPr>
          <w:ilvl w:val="0"/>
          <w:numId w:val="6"/>
        </w:numPr>
        <w:ind w:left="0" w:firstLine="562" w:firstLineChars="200"/>
        <w:rPr>
          <w:color w:val="auto"/>
          <w:highlight w:val="none"/>
        </w:rPr>
      </w:pPr>
      <w:bookmarkStart w:id="157" w:name="_Toc33092173"/>
      <w:bookmarkStart w:id="158" w:name="_Toc33445960"/>
      <w:bookmarkStart w:id="159" w:name="_Toc133502185"/>
      <w:bookmarkStart w:id="160" w:name="_Toc33448461"/>
      <w:bookmarkStart w:id="161" w:name="_Toc22179"/>
      <w:bookmarkStart w:id="162" w:name="_Toc33445885"/>
      <w:bookmarkStart w:id="163" w:name="_Toc33446063"/>
      <w:bookmarkStart w:id="164" w:name="_Toc33448390"/>
      <w:bookmarkStart w:id="165" w:name="_Toc464649550"/>
      <w:r>
        <w:rPr>
          <w:rFonts w:hint="eastAsia"/>
          <w:color w:val="auto"/>
          <w:highlight w:val="none"/>
        </w:rPr>
        <w:t>计量与支付</w:t>
      </w:r>
      <w:bookmarkEnd w:id="157"/>
      <w:bookmarkEnd w:id="158"/>
      <w:bookmarkEnd w:id="159"/>
      <w:bookmarkEnd w:id="160"/>
      <w:bookmarkEnd w:id="161"/>
      <w:bookmarkEnd w:id="162"/>
      <w:bookmarkEnd w:id="163"/>
      <w:bookmarkEnd w:id="164"/>
      <w:bookmarkEnd w:id="165"/>
    </w:p>
    <w:p>
      <w:pPr>
        <w:pStyle w:val="6"/>
        <w:numPr>
          <w:ilvl w:val="1"/>
          <w:numId w:val="6"/>
        </w:numPr>
        <w:ind w:left="0" w:firstLine="422" w:firstLineChars="200"/>
        <w:rPr>
          <w:color w:val="auto"/>
          <w:highlight w:val="none"/>
        </w:rPr>
      </w:pPr>
      <w:r>
        <w:rPr>
          <w:rFonts w:hint="eastAsia"/>
          <w:color w:val="auto"/>
          <w:highlight w:val="none"/>
        </w:rPr>
        <w:t>计量</w:t>
      </w:r>
    </w:p>
    <w:p>
      <w:pPr>
        <w:pStyle w:val="7"/>
        <w:numPr>
          <w:ilvl w:val="2"/>
          <w:numId w:val="6"/>
        </w:numPr>
        <w:ind w:left="0" w:firstLine="420" w:firstLineChars="200"/>
        <w:rPr>
          <w:color w:val="auto"/>
          <w:highlight w:val="none"/>
        </w:rPr>
      </w:pPr>
      <w:r>
        <w:rPr>
          <w:rFonts w:hint="eastAsia"/>
          <w:color w:val="auto"/>
          <w:highlight w:val="none"/>
        </w:rPr>
        <w:t>计量时间在专用条款中说明。</w:t>
      </w:r>
    </w:p>
    <w:p>
      <w:pPr>
        <w:pStyle w:val="7"/>
        <w:numPr>
          <w:ilvl w:val="2"/>
          <w:numId w:val="6"/>
        </w:numPr>
        <w:ind w:left="0" w:firstLine="420" w:firstLineChars="200"/>
        <w:rPr>
          <w:color w:val="auto"/>
          <w:highlight w:val="none"/>
        </w:rPr>
      </w:pPr>
      <w:r>
        <w:rPr>
          <w:rFonts w:hint="eastAsia"/>
          <w:color w:val="auto"/>
          <w:highlight w:val="none"/>
        </w:rPr>
        <w:t>对承包人超出设计图纸范围和因承包人原因造成返工、质量不合格的工程量，发包人及监理人不予计量。</w:t>
      </w:r>
    </w:p>
    <w:p>
      <w:pPr>
        <w:pStyle w:val="7"/>
        <w:numPr>
          <w:ilvl w:val="2"/>
          <w:numId w:val="6"/>
        </w:numPr>
        <w:ind w:left="0" w:firstLine="420" w:firstLineChars="200"/>
        <w:rPr>
          <w:color w:val="auto"/>
          <w:highlight w:val="none"/>
        </w:rPr>
      </w:pPr>
      <w:r>
        <w:rPr>
          <w:rFonts w:hint="eastAsia"/>
          <w:color w:val="auto"/>
          <w:highlight w:val="none"/>
        </w:rPr>
        <w:t>发包人对工程进度款的批准，不视为对承包人实际完成工程量的批准，只作为发包人进行工程目标管理和控制进度款支付的依据。</w:t>
      </w:r>
    </w:p>
    <w:p>
      <w:pPr>
        <w:pStyle w:val="6"/>
        <w:numPr>
          <w:ilvl w:val="1"/>
          <w:numId w:val="6"/>
        </w:numPr>
        <w:ind w:left="0" w:firstLine="422" w:firstLineChars="200"/>
        <w:rPr>
          <w:color w:val="auto"/>
          <w:highlight w:val="none"/>
        </w:rPr>
      </w:pPr>
      <w:r>
        <w:rPr>
          <w:rFonts w:hint="eastAsia"/>
          <w:color w:val="auto"/>
          <w:highlight w:val="none"/>
        </w:rPr>
        <w:t>工程价款</w:t>
      </w:r>
    </w:p>
    <w:p>
      <w:pPr>
        <w:pStyle w:val="7"/>
        <w:numPr>
          <w:ilvl w:val="2"/>
          <w:numId w:val="6"/>
        </w:numPr>
        <w:ind w:left="0" w:firstLine="420" w:firstLineChars="200"/>
        <w:rPr>
          <w:color w:val="auto"/>
          <w:highlight w:val="none"/>
        </w:rPr>
      </w:pPr>
      <w:r>
        <w:rPr>
          <w:rFonts w:hint="eastAsia"/>
          <w:color w:val="auto"/>
          <w:highlight w:val="none"/>
        </w:rPr>
        <w:t>本合同采用固定综合单价包干方式执行:</w:t>
      </w:r>
    </w:p>
    <w:p>
      <w:pPr>
        <w:pStyle w:val="8"/>
        <w:numPr>
          <w:ilvl w:val="0"/>
          <w:numId w:val="32"/>
        </w:numPr>
        <w:ind w:left="0" w:firstLine="420" w:firstLineChars="200"/>
        <w:rPr>
          <w:color w:val="auto"/>
          <w:highlight w:val="none"/>
        </w:rPr>
      </w:pPr>
      <w:r>
        <w:rPr>
          <w:rFonts w:hint="eastAsia"/>
          <w:color w:val="auto"/>
          <w:highlight w:val="none"/>
        </w:rPr>
        <w:t>本合同采用固定综合单价包干方式，合同总价为暂定总价。</w:t>
      </w:r>
    </w:p>
    <w:p>
      <w:pPr>
        <w:pStyle w:val="8"/>
        <w:numPr>
          <w:ilvl w:val="0"/>
          <w:numId w:val="32"/>
        </w:numPr>
        <w:ind w:left="0" w:firstLine="420" w:firstLineChars="200"/>
        <w:rPr>
          <w:color w:val="auto"/>
          <w:highlight w:val="none"/>
        </w:rPr>
      </w:pPr>
      <w:r>
        <w:rPr>
          <w:rFonts w:hint="eastAsia"/>
          <w:color w:val="auto"/>
          <w:highlight w:val="none"/>
        </w:rPr>
        <w:t>已标价的工程量及单价清单中的综合单价为固定综合单价。</w:t>
      </w:r>
    </w:p>
    <w:p>
      <w:pPr>
        <w:pStyle w:val="8"/>
        <w:numPr>
          <w:ilvl w:val="0"/>
          <w:numId w:val="32"/>
        </w:numPr>
        <w:ind w:left="0" w:firstLine="420" w:firstLineChars="200"/>
        <w:rPr>
          <w:color w:val="auto"/>
          <w:highlight w:val="none"/>
        </w:rPr>
      </w:pPr>
      <w:r>
        <w:rPr>
          <w:rFonts w:hint="eastAsia"/>
          <w:color w:val="auto"/>
          <w:highlight w:val="none"/>
        </w:rPr>
        <w:t xml:space="preserve">综合单价指完成工程量清单中一个规定计量单位按照图纸要求完成所有工作内容所需的费用，本合同工程量及单价清单中的综合单价，应认为已均包含了所有的人工、材料、机械、设备及人工、材料、机械和设备的杂费，所有消耗费，专利费用，包装费，运费，保险费，设备调试费，装卸费，仓储费及其他临时在外的存储费用、运抵费、安装费、升降费及固定费，处理费，监管费，内外部管理费用，利润，加班费，材料市场价差，与知识产权相关的费用，劳动保险金及其他由施工单位向政府缴纳的保证金，工伤保险费，风险费，水电费，治安、消防、安全、环保、主管部门因进行工程所规定应由施工单位所交纳的任何收费，民扰及扰民费，以及其他为按时按质完成合同所规定工作的除措施费及规费、税金以外所有费用，不论图纸、规范、技术要求、工程量清单中有没有说明。除非合同另有其他明确约定外，该综合单价不做任何调整。 </w:t>
      </w:r>
    </w:p>
    <w:p>
      <w:pPr>
        <w:pStyle w:val="8"/>
        <w:numPr>
          <w:ilvl w:val="0"/>
          <w:numId w:val="32"/>
        </w:numPr>
        <w:ind w:left="0" w:firstLine="420" w:firstLineChars="200"/>
        <w:rPr>
          <w:color w:val="auto"/>
          <w:highlight w:val="none"/>
        </w:rPr>
      </w:pPr>
      <w:r>
        <w:rPr>
          <w:rFonts w:hint="eastAsia"/>
          <w:color w:val="auto"/>
          <w:highlight w:val="none"/>
        </w:rPr>
        <w:t>风险费用的计算方法在专用条款中写明。</w:t>
      </w:r>
    </w:p>
    <w:p>
      <w:pPr>
        <w:pStyle w:val="8"/>
        <w:numPr>
          <w:ilvl w:val="0"/>
          <w:numId w:val="32"/>
        </w:numPr>
        <w:ind w:left="0" w:firstLine="420" w:firstLineChars="200"/>
        <w:rPr>
          <w:color w:val="auto"/>
          <w:highlight w:val="none"/>
        </w:rPr>
      </w:pPr>
      <w:r>
        <w:rPr>
          <w:rFonts w:hint="eastAsia"/>
          <w:color w:val="auto"/>
          <w:highlight w:val="none"/>
        </w:rPr>
        <w:t>措施项目清单所列项目综合单价及费率固定不变，在工程实施过程可能发生但在措施清单中未列出的措施费用视其已包含在措施项目清单所列项目中。</w:t>
      </w:r>
    </w:p>
    <w:p>
      <w:pPr>
        <w:pStyle w:val="8"/>
        <w:numPr>
          <w:ilvl w:val="0"/>
          <w:numId w:val="32"/>
        </w:numPr>
        <w:ind w:left="0" w:firstLine="420" w:firstLineChars="200"/>
        <w:rPr>
          <w:color w:val="auto"/>
          <w:highlight w:val="none"/>
        </w:rPr>
      </w:pPr>
      <w:r>
        <w:rPr>
          <w:rFonts w:hint="eastAsia"/>
          <w:color w:val="auto"/>
          <w:highlight w:val="none"/>
        </w:rPr>
        <w:t>双方约定其他可调整合同价款的情况在专用条款中写明。</w:t>
      </w:r>
    </w:p>
    <w:p>
      <w:pPr>
        <w:pStyle w:val="6"/>
        <w:numPr>
          <w:ilvl w:val="1"/>
          <w:numId w:val="6"/>
        </w:numPr>
        <w:ind w:left="0" w:firstLine="422" w:firstLineChars="200"/>
        <w:rPr>
          <w:color w:val="auto"/>
          <w:highlight w:val="none"/>
        </w:rPr>
      </w:pPr>
      <w:r>
        <w:rPr>
          <w:rFonts w:hint="eastAsia"/>
          <w:color w:val="auto"/>
          <w:highlight w:val="none"/>
        </w:rPr>
        <w:t>总承包服务费</w:t>
      </w:r>
    </w:p>
    <w:p>
      <w:pPr>
        <w:pStyle w:val="7"/>
        <w:numPr>
          <w:ilvl w:val="2"/>
          <w:numId w:val="6"/>
        </w:numPr>
        <w:ind w:left="0" w:firstLine="420" w:firstLineChars="200"/>
        <w:rPr>
          <w:color w:val="auto"/>
          <w:highlight w:val="none"/>
        </w:rPr>
      </w:pPr>
      <w:r>
        <w:rPr>
          <w:rFonts w:hint="eastAsia"/>
          <w:color w:val="auto"/>
          <w:highlight w:val="none"/>
        </w:rPr>
        <w:t>总承包服务费对应的总包服务、管理、配合工作内容：</w:t>
      </w:r>
      <w:r>
        <w:rPr>
          <w:rFonts w:hint="eastAsia"/>
          <w:color w:val="auto"/>
          <w:highlight w:val="none"/>
          <w:u w:val="single"/>
        </w:rPr>
        <w:t xml:space="preserve">         </w:t>
      </w:r>
    </w:p>
    <w:p>
      <w:pPr>
        <w:pStyle w:val="7"/>
        <w:numPr>
          <w:ilvl w:val="2"/>
          <w:numId w:val="6"/>
        </w:numPr>
        <w:ind w:left="0" w:firstLine="420" w:firstLineChars="200"/>
        <w:rPr>
          <w:color w:val="auto"/>
          <w:highlight w:val="none"/>
        </w:rPr>
      </w:pPr>
      <w:r>
        <w:rPr>
          <w:rFonts w:hint="eastAsia"/>
          <w:color w:val="auto"/>
          <w:highlight w:val="none"/>
        </w:rPr>
        <w:t>总承包服务费已由发包人统一向总承包人支付。</w:t>
      </w:r>
    </w:p>
    <w:p>
      <w:pPr>
        <w:pStyle w:val="7"/>
        <w:numPr>
          <w:ilvl w:val="2"/>
          <w:numId w:val="6"/>
        </w:numPr>
        <w:ind w:left="0" w:firstLine="420" w:firstLineChars="200"/>
        <w:rPr>
          <w:color w:val="auto"/>
          <w:highlight w:val="none"/>
        </w:rPr>
      </w:pPr>
      <w:r>
        <w:rPr>
          <w:rFonts w:hint="eastAsia"/>
          <w:color w:val="auto"/>
          <w:highlight w:val="none"/>
        </w:rPr>
        <w:t>其他约定在专用条款中写明。</w:t>
      </w:r>
    </w:p>
    <w:p>
      <w:pPr>
        <w:pStyle w:val="6"/>
        <w:numPr>
          <w:ilvl w:val="1"/>
          <w:numId w:val="6"/>
        </w:numPr>
        <w:ind w:left="0" w:firstLine="422" w:firstLineChars="200"/>
        <w:rPr>
          <w:color w:val="auto"/>
          <w:highlight w:val="none"/>
        </w:rPr>
      </w:pPr>
      <w:r>
        <w:rPr>
          <w:rFonts w:hint="eastAsia"/>
          <w:color w:val="auto"/>
          <w:highlight w:val="none"/>
        </w:rPr>
        <w:t>工程进度付款</w:t>
      </w:r>
    </w:p>
    <w:p>
      <w:pPr>
        <w:pStyle w:val="7"/>
        <w:numPr>
          <w:ilvl w:val="2"/>
          <w:numId w:val="6"/>
        </w:numPr>
        <w:ind w:left="0" w:firstLine="420" w:firstLineChars="200"/>
        <w:rPr>
          <w:color w:val="auto"/>
          <w:highlight w:val="none"/>
        </w:rPr>
      </w:pPr>
      <w:r>
        <w:rPr>
          <w:rFonts w:hint="eastAsia"/>
          <w:color w:val="auto"/>
          <w:highlight w:val="none"/>
        </w:rPr>
        <w:t>在确认计量结果和价款后，发包人向承包人支付工程进度款。</w:t>
      </w:r>
    </w:p>
    <w:p>
      <w:pPr>
        <w:pStyle w:val="7"/>
        <w:numPr>
          <w:ilvl w:val="2"/>
          <w:numId w:val="6"/>
        </w:numPr>
        <w:ind w:left="0" w:firstLine="420" w:firstLineChars="200"/>
        <w:rPr>
          <w:color w:val="auto"/>
          <w:highlight w:val="none"/>
        </w:rPr>
      </w:pPr>
      <w:r>
        <w:rPr>
          <w:rFonts w:hint="eastAsia"/>
          <w:color w:val="auto"/>
          <w:highlight w:val="none"/>
        </w:rPr>
        <w:t>工程进度款的支付时间额度和要求在专用条款中说明。</w:t>
      </w:r>
    </w:p>
    <w:p>
      <w:pPr>
        <w:pStyle w:val="7"/>
        <w:numPr>
          <w:ilvl w:val="2"/>
          <w:numId w:val="6"/>
        </w:numPr>
        <w:ind w:left="0" w:firstLine="420" w:firstLineChars="200"/>
        <w:rPr>
          <w:color w:val="auto"/>
          <w:highlight w:val="none"/>
        </w:rPr>
      </w:pPr>
      <w:r>
        <w:rPr>
          <w:rFonts w:hint="eastAsia"/>
          <w:color w:val="auto"/>
          <w:highlight w:val="none"/>
        </w:rPr>
        <w:t>如发包人未能按规定期限付款，则随后的60天视为宽限期。在宽限期内，承包人不得行使任何追讨的权利，且发包人无需向承包人承担逾期付款的违约责任。</w:t>
      </w:r>
    </w:p>
    <w:p>
      <w:pPr>
        <w:pStyle w:val="7"/>
        <w:numPr>
          <w:ilvl w:val="2"/>
          <w:numId w:val="6"/>
        </w:numPr>
        <w:ind w:left="0" w:firstLine="420" w:firstLineChars="200"/>
        <w:rPr>
          <w:color w:val="auto"/>
          <w:highlight w:val="none"/>
        </w:rPr>
      </w:pPr>
      <w:r>
        <w:rPr>
          <w:rFonts w:hint="eastAsia"/>
          <w:color w:val="auto"/>
          <w:highlight w:val="none"/>
        </w:rPr>
        <w:t>如发包人未能在宽限期结束前付款，承包人可向发包人发出要求付款的通知，发包人收到承包人通知后仍不能按要求付款，可与承包人协商签订延期付款协议，经承包人同意后可延期支付。</w:t>
      </w:r>
    </w:p>
    <w:p>
      <w:pPr>
        <w:pStyle w:val="7"/>
        <w:numPr>
          <w:ilvl w:val="2"/>
          <w:numId w:val="6"/>
        </w:numPr>
        <w:ind w:left="0" w:firstLine="420" w:firstLineChars="200"/>
        <w:rPr>
          <w:color w:val="auto"/>
          <w:highlight w:val="none"/>
        </w:rPr>
      </w:pPr>
      <w:r>
        <w:rPr>
          <w:rFonts w:hint="eastAsia"/>
          <w:color w:val="auto"/>
          <w:highlight w:val="none"/>
        </w:rPr>
        <w:t>进度款与质量、安全挂钩，若申报工作的质量、安全达不到验收规范要求，发包人有权暂缓支付该部分工程款，直至合格为止。</w:t>
      </w:r>
    </w:p>
    <w:p>
      <w:pPr>
        <w:pStyle w:val="7"/>
        <w:numPr>
          <w:ilvl w:val="2"/>
          <w:numId w:val="6"/>
        </w:numPr>
        <w:ind w:left="0" w:firstLine="420" w:firstLineChars="200"/>
        <w:rPr>
          <w:color w:val="auto"/>
          <w:highlight w:val="none"/>
        </w:rPr>
      </w:pPr>
      <w:r>
        <w:rPr>
          <w:rFonts w:hint="eastAsia"/>
          <w:color w:val="auto"/>
          <w:highlight w:val="none"/>
        </w:rPr>
        <w:t>双方确认，承包人在每月申请进度款时，均应按照政府主管部门备案要求向发包人提供当月已完工程的全部施工验收资料（包括但不限于进场材料检验、检验批验收、分部和分项验收、单位工程验收、隐蔽工程验收等），否则，发包人有权拒绝支付进度款，承包人不得据此延迟工期，由此产生的损失由承包人自行承担。</w:t>
      </w:r>
    </w:p>
    <w:p>
      <w:pPr>
        <w:pStyle w:val="7"/>
        <w:numPr>
          <w:ilvl w:val="2"/>
          <w:numId w:val="6"/>
        </w:numPr>
        <w:ind w:left="0" w:firstLine="420" w:firstLineChars="200"/>
        <w:rPr>
          <w:color w:val="auto"/>
          <w:highlight w:val="none"/>
        </w:rPr>
      </w:pPr>
      <w:r>
        <w:rPr>
          <w:rFonts w:hint="eastAsia"/>
          <w:color w:val="auto"/>
          <w:highlight w:val="none"/>
        </w:rPr>
        <w:t>发包人有权在付款中扣除如下任何款项：</w:t>
      </w:r>
    </w:p>
    <w:p>
      <w:pPr>
        <w:pStyle w:val="8"/>
        <w:numPr>
          <w:ilvl w:val="0"/>
          <w:numId w:val="33"/>
        </w:numPr>
        <w:ind w:left="0" w:firstLine="420" w:firstLineChars="200"/>
        <w:rPr>
          <w:color w:val="auto"/>
          <w:highlight w:val="none"/>
        </w:rPr>
      </w:pPr>
      <w:r>
        <w:rPr>
          <w:rFonts w:hint="eastAsia"/>
          <w:color w:val="auto"/>
          <w:highlight w:val="none"/>
        </w:rPr>
        <w:t>如果承包人提供的任何材料、工程设备或完成的工作不符合合同要求，在完成修正和更换前，扣除该修正和更换所需费用；</w:t>
      </w:r>
    </w:p>
    <w:p>
      <w:pPr>
        <w:pStyle w:val="8"/>
        <w:numPr>
          <w:ilvl w:val="0"/>
          <w:numId w:val="33"/>
        </w:numPr>
        <w:ind w:left="0" w:firstLine="420" w:firstLineChars="200"/>
        <w:rPr>
          <w:color w:val="auto"/>
          <w:highlight w:val="none"/>
        </w:rPr>
      </w:pPr>
      <w:r>
        <w:rPr>
          <w:rFonts w:hint="eastAsia"/>
          <w:color w:val="auto"/>
          <w:highlight w:val="none"/>
        </w:rPr>
        <w:t>如果承包人未能按照合同要求履行任何工作或义务，在该项工作或义务完成前，扣除该工作或义务的价值；</w:t>
      </w:r>
    </w:p>
    <w:p>
      <w:pPr>
        <w:pStyle w:val="8"/>
        <w:numPr>
          <w:ilvl w:val="0"/>
          <w:numId w:val="33"/>
        </w:numPr>
        <w:ind w:left="0" w:firstLine="420" w:firstLineChars="200"/>
        <w:rPr>
          <w:color w:val="auto"/>
          <w:highlight w:val="none"/>
        </w:rPr>
      </w:pPr>
      <w:r>
        <w:rPr>
          <w:rFonts w:hint="eastAsia"/>
          <w:color w:val="auto"/>
          <w:highlight w:val="none"/>
        </w:rPr>
        <w:t>承包人按照本合同约定应承担的任何违约责任或发包人可扣除的任何款项。</w:t>
      </w:r>
    </w:p>
    <w:p>
      <w:pPr>
        <w:pStyle w:val="8"/>
        <w:numPr>
          <w:ilvl w:val="0"/>
          <w:numId w:val="33"/>
        </w:numPr>
        <w:ind w:left="0" w:firstLine="420" w:firstLineChars="200"/>
        <w:rPr>
          <w:color w:val="auto"/>
          <w:highlight w:val="none"/>
        </w:rPr>
      </w:pPr>
      <w:r>
        <w:rPr>
          <w:rFonts w:hint="eastAsia"/>
          <w:color w:val="auto"/>
          <w:highlight w:val="none"/>
        </w:rPr>
        <w:t>承包人原因造成的损失由承包人负责按期复原、整改，不能按期复原、整改的按损失金额在工程款中抵扣。</w:t>
      </w:r>
    </w:p>
    <w:p>
      <w:pPr>
        <w:pStyle w:val="7"/>
        <w:numPr>
          <w:ilvl w:val="2"/>
          <w:numId w:val="6"/>
        </w:numPr>
        <w:ind w:left="0" w:firstLine="420" w:firstLineChars="200"/>
        <w:rPr>
          <w:color w:val="auto"/>
          <w:highlight w:val="none"/>
        </w:rPr>
      </w:pPr>
      <w:r>
        <w:rPr>
          <w:rFonts w:hint="eastAsia"/>
          <w:color w:val="auto"/>
          <w:highlight w:val="none"/>
        </w:rPr>
        <w:t>施工期内为付款而对工程量的核实，纯粹作为付款用。不能视为工程已验收合格的依据，亦不得视为对结算工程量的最终确认。</w:t>
      </w:r>
    </w:p>
    <w:p>
      <w:pPr>
        <w:pStyle w:val="7"/>
        <w:numPr>
          <w:ilvl w:val="2"/>
          <w:numId w:val="6"/>
        </w:numPr>
        <w:ind w:left="0" w:firstLine="420" w:firstLineChars="200"/>
        <w:rPr>
          <w:color w:val="auto"/>
          <w:highlight w:val="none"/>
        </w:rPr>
      </w:pPr>
      <w:r>
        <w:rPr>
          <w:rFonts w:hint="eastAsia"/>
          <w:color w:val="auto"/>
          <w:highlight w:val="none"/>
        </w:rPr>
        <w:t>付款发票的要求在专用条款里写明。</w:t>
      </w:r>
    </w:p>
    <w:p>
      <w:pPr>
        <w:pStyle w:val="6"/>
        <w:numPr>
          <w:ilvl w:val="1"/>
          <w:numId w:val="6"/>
        </w:numPr>
        <w:ind w:left="0" w:firstLine="422" w:firstLineChars="200"/>
        <w:rPr>
          <w:color w:val="auto"/>
          <w:highlight w:val="none"/>
        </w:rPr>
      </w:pPr>
      <w:r>
        <w:rPr>
          <w:rFonts w:hint="eastAsia"/>
          <w:color w:val="auto"/>
          <w:highlight w:val="none"/>
        </w:rPr>
        <w:t>质量保证金</w:t>
      </w:r>
    </w:p>
    <w:p>
      <w:pPr>
        <w:pStyle w:val="7"/>
        <w:numPr>
          <w:ilvl w:val="2"/>
          <w:numId w:val="6"/>
        </w:numPr>
        <w:ind w:left="0" w:firstLine="420" w:firstLineChars="200"/>
        <w:rPr>
          <w:color w:val="auto"/>
          <w:highlight w:val="none"/>
        </w:rPr>
      </w:pPr>
      <w:r>
        <w:rPr>
          <w:rFonts w:hint="eastAsia"/>
          <w:color w:val="auto"/>
          <w:highlight w:val="none"/>
        </w:rPr>
        <w:t>质量保证金的返还按照专用条款的约定执行。</w:t>
      </w:r>
    </w:p>
    <w:p>
      <w:pPr>
        <w:pStyle w:val="7"/>
        <w:numPr>
          <w:ilvl w:val="2"/>
          <w:numId w:val="6"/>
        </w:numPr>
        <w:ind w:left="0" w:firstLine="420" w:firstLineChars="200"/>
        <w:rPr>
          <w:color w:val="auto"/>
          <w:highlight w:val="none"/>
        </w:rPr>
      </w:pPr>
      <w:r>
        <w:rPr>
          <w:rFonts w:hint="eastAsia"/>
          <w:color w:val="auto"/>
          <w:highlight w:val="none"/>
        </w:rPr>
        <w:t xml:space="preserve">在缺陷责任期满时，承包人没有完成保修责任的，发包人有权扣留与未履行责任剩余工作所需金额相应的质量保证金余额，并有权要求延长缺陷责任期，直至完成剩余工作为止。 </w:t>
      </w:r>
    </w:p>
    <w:p>
      <w:pPr>
        <w:pStyle w:val="6"/>
        <w:numPr>
          <w:ilvl w:val="1"/>
          <w:numId w:val="6"/>
        </w:numPr>
        <w:ind w:left="0" w:firstLine="422" w:firstLineChars="200"/>
        <w:rPr>
          <w:color w:val="auto"/>
          <w:highlight w:val="none"/>
        </w:rPr>
      </w:pPr>
      <w:r>
        <w:rPr>
          <w:rFonts w:hint="eastAsia"/>
          <w:color w:val="auto"/>
          <w:highlight w:val="none"/>
        </w:rPr>
        <w:t>竣工结算</w:t>
      </w:r>
    </w:p>
    <w:p>
      <w:pPr>
        <w:pStyle w:val="7"/>
        <w:numPr>
          <w:ilvl w:val="2"/>
          <w:numId w:val="6"/>
        </w:numPr>
        <w:ind w:left="0" w:firstLine="420" w:firstLineChars="200"/>
        <w:rPr>
          <w:color w:val="auto"/>
          <w:highlight w:val="none"/>
        </w:rPr>
      </w:pPr>
      <w:r>
        <w:rPr>
          <w:rFonts w:hint="eastAsia"/>
          <w:color w:val="auto"/>
          <w:highlight w:val="none"/>
        </w:rPr>
        <w:t>竣工验收合格后28天内，承包人向发包人递交结算书及相关文件。若发包人要求承包人提交其他数据，承包人需加以配合提供。结算书及相关资料内容在专用条款中明确。</w:t>
      </w:r>
    </w:p>
    <w:p>
      <w:pPr>
        <w:pStyle w:val="7"/>
        <w:numPr>
          <w:ilvl w:val="2"/>
          <w:numId w:val="6"/>
        </w:numPr>
        <w:ind w:left="0" w:firstLine="420" w:firstLineChars="200"/>
        <w:rPr>
          <w:color w:val="auto"/>
          <w:highlight w:val="none"/>
        </w:rPr>
      </w:pPr>
      <w:r>
        <w:rPr>
          <w:rFonts w:hint="eastAsia"/>
          <w:color w:val="auto"/>
          <w:highlight w:val="none"/>
        </w:rPr>
        <w:t>发包人在收到承包人提交的结算书及一切所需相关资料后，按专用条款约定的结算期限，进行工程竣工结算。</w:t>
      </w:r>
    </w:p>
    <w:p>
      <w:pPr>
        <w:pStyle w:val="7"/>
        <w:numPr>
          <w:ilvl w:val="2"/>
          <w:numId w:val="6"/>
        </w:numPr>
        <w:ind w:left="0" w:firstLine="420" w:firstLineChars="200"/>
        <w:rPr>
          <w:color w:val="auto"/>
          <w:highlight w:val="none"/>
        </w:rPr>
      </w:pPr>
      <w:r>
        <w:rPr>
          <w:rFonts w:hint="eastAsia"/>
          <w:color w:val="auto"/>
          <w:highlight w:val="none"/>
        </w:rPr>
        <w:t>承包人提交的结算书必须是完整的，发包人在结算审价过程中，承包人无权利提出任何补充结算资料（图纸、签证变更单、价格凭证等）的要求，结算书中若有结算遗漏项目的均由承包人自行承担。</w:t>
      </w:r>
    </w:p>
    <w:p>
      <w:pPr>
        <w:pStyle w:val="7"/>
        <w:numPr>
          <w:ilvl w:val="2"/>
          <w:numId w:val="6"/>
        </w:numPr>
        <w:ind w:left="0" w:firstLine="420" w:firstLineChars="200"/>
        <w:rPr>
          <w:color w:val="auto"/>
          <w:highlight w:val="none"/>
        </w:rPr>
      </w:pPr>
      <w:r>
        <w:rPr>
          <w:rFonts w:hint="eastAsia"/>
          <w:color w:val="auto"/>
          <w:highlight w:val="none"/>
        </w:rPr>
        <w:t>承包人提交的结算书应包括承包人认为其有权获得的全部工程价款、赔偿、补偿及其他任何金额。任何未在竣工结算报告中载明的项目，视为发包人无须支付，及承包人放弃了要求发包人支付的权利（如有）。</w:t>
      </w:r>
    </w:p>
    <w:p>
      <w:pPr>
        <w:pStyle w:val="7"/>
        <w:numPr>
          <w:ilvl w:val="2"/>
          <w:numId w:val="6"/>
        </w:numPr>
        <w:ind w:left="0" w:firstLine="420" w:firstLineChars="200"/>
        <w:rPr>
          <w:color w:val="auto"/>
          <w:highlight w:val="none"/>
        </w:rPr>
      </w:pPr>
      <w:r>
        <w:rPr>
          <w:rFonts w:hint="eastAsia"/>
          <w:color w:val="auto"/>
          <w:highlight w:val="none"/>
        </w:rPr>
        <w:t>发包人收到承包人的结算书后，除非发包人以书面形式表示认可或接受，否则发包人的任何作为与不作为（包括要求承包人补充资料、不同意的表示、质疑、要求协商的会议、要求签订与承包人提出的报告不一致的协议或备忘录等）均视为对承包人结算书的不认可。</w:t>
      </w:r>
    </w:p>
    <w:p>
      <w:pPr>
        <w:pStyle w:val="7"/>
        <w:numPr>
          <w:ilvl w:val="2"/>
          <w:numId w:val="6"/>
        </w:numPr>
        <w:ind w:left="0" w:firstLine="420" w:firstLineChars="200"/>
        <w:rPr>
          <w:color w:val="auto"/>
          <w:highlight w:val="none"/>
        </w:rPr>
      </w:pPr>
      <w:r>
        <w:rPr>
          <w:rFonts w:hint="eastAsia"/>
          <w:color w:val="auto"/>
          <w:highlight w:val="none"/>
        </w:rPr>
        <w:t>结算书经发包人内部审计并与承包人双方确认后的价款被认为是本工程的全部工程总价，本合同任何需要调整工程总价的因素已获考虑，不得做任何调整。</w:t>
      </w:r>
    </w:p>
    <w:p>
      <w:pPr>
        <w:pStyle w:val="7"/>
        <w:numPr>
          <w:ilvl w:val="2"/>
          <w:numId w:val="6"/>
        </w:numPr>
        <w:ind w:left="0" w:firstLine="420" w:firstLineChars="200"/>
        <w:rPr>
          <w:color w:val="auto"/>
          <w:highlight w:val="none"/>
        </w:rPr>
      </w:pPr>
      <w:r>
        <w:rPr>
          <w:rFonts w:hint="eastAsia"/>
          <w:color w:val="auto"/>
          <w:highlight w:val="none"/>
        </w:rPr>
        <w:t>对工程结算的其他约定在专用条款中写明。</w:t>
      </w:r>
    </w:p>
    <w:p>
      <w:pPr>
        <w:pStyle w:val="5"/>
        <w:numPr>
          <w:ilvl w:val="0"/>
          <w:numId w:val="6"/>
        </w:numPr>
        <w:ind w:left="0" w:firstLine="562" w:firstLineChars="200"/>
        <w:rPr>
          <w:color w:val="auto"/>
          <w:highlight w:val="none"/>
        </w:rPr>
      </w:pPr>
      <w:bookmarkStart w:id="166" w:name="_Toc33448462"/>
      <w:bookmarkStart w:id="167" w:name="_Toc24118"/>
      <w:bookmarkStart w:id="168" w:name="_Toc33445886"/>
      <w:bookmarkStart w:id="169" w:name="_Toc133502186"/>
      <w:bookmarkStart w:id="170" w:name="_Toc464649551"/>
      <w:bookmarkStart w:id="171" w:name="_Toc33448391"/>
      <w:bookmarkStart w:id="172" w:name="_Toc33446064"/>
      <w:bookmarkStart w:id="173" w:name="_Toc33445961"/>
      <w:bookmarkStart w:id="174" w:name="_Toc33092174"/>
      <w:r>
        <w:rPr>
          <w:rFonts w:hint="eastAsia"/>
          <w:color w:val="auto"/>
          <w:highlight w:val="none"/>
        </w:rPr>
        <w:t>竣工验收</w:t>
      </w:r>
      <w:bookmarkEnd w:id="166"/>
      <w:bookmarkEnd w:id="167"/>
      <w:bookmarkEnd w:id="168"/>
      <w:bookmarkEnd w:id="169"/>
      <w:bookmarkEnd w:id="170"/>
      <w:bookmarkEnd w:id="171"/>
      <w:bookmarkEnd w:id="172"/>
      <w:bookmarkEnd w:id="173"/>
      <w:bookmarkEnd w:id="174"/>
    </w:p>
    <w:p>
      <w:pPr>
        <w:pStyle w:val="6"/>
        <w:numPr>
          <w:ilvl w:val="1"/>
          <w:numId w:val="6"/>
        </w:numPr>
        <w:ind w:left="0" w:firstLine="422" w:firstLineChars="200"/>
        <w:rPr>
          <w:color w:val="auto"/>
          <w:highlight w:val="none"/>
        </w:rPr>
      </w:pPr>
      <w:r>
        <w:rPr>
          <w:rFonts w:hint="eastAsia"/>
          <w:color w:val="auto"/>
          <w:highlight w:val="none"/>
        </w:rPr>
        <w:t>竣工验收的含义</w:t>
      </w:r>
    </w:p>
    <w:p>
      <w:pPr>
        <w:pStyle w:val="7"/>
        <w:numPr>
          <w:ilvl w:val="2"/>
          <w:numId w:val="6"/>
        </w:numPr>
        <w:ind w:left="0" w:firstLine="420" w:firstLineChars="200"/>
        <w:rPr>
          <w:color w:val="auto"/>
          <w:highlight w:val="none"/>
        </w:rPr>
      </w:pPr>
      <w:r>
        <w:rPr>
          <w:rFonts w:hint="eastAsia"/>
          <w:color w:val="auto"/>
          <w:highlight w:val="none"/>
        </w:rPr>
        <w:t>园林绿化工程竣工验收指承包人完成了全部合同工作后，发包人按合同要求进行的验收。</w:t>
      </w:r>
    </w:p>
    <w:p>
      <w:pPr>
        <w:pStyle w:val="7"/>
        <w:numPr>
          <w:ilvl w:val="2"/>
          <w:numId w:val="6"/>
        </w:numPr>
        <w:ind w:left="0" w:firstLine="420" w:firstLineChars="200"/>
        <w:rPr>
          <w:color w:val="auto"/>
          <w:highlight w:val="none"/>
        </w:rPr>
      </w:pPr>
      <w:r>
        <w:rPr>
          <w:rFonts w:hint="eastAsia"/>
          <w:color w:val="auto"/>
          <w:highlight w:val="none"/>
        </w:rPr>
        <w:t xml:space="preserve">竣工验收所采用的各项验收和评定标准应符合国家验收标准。发包人和承包人为工程验收提供的各项工程验收资料应符合国家验收的要求。 </w:t>
      </w:r>
    </w:p>
    <w:p>
      <w:pPr>
        <w:pStyle w:val="6"/>
        <w:numPr>
          <w:ilvl w:val="1"/>
          <w:numId w:val="6"/>
        </w:numPr>
        <w:ind w:left="0" w:firstLine="422" w:firstLineChars="200"/>
        <w:rPr>
          <w:color w:val="auto"/>
          <w:highlight w:val="none"/>
        </w:rPr>
      </w:pPr>
      <w:r>
        <w:rPr>
          <w:rFonts w:hint="eastAsia"/>
          <w:color w:val="auto"/>
          <w:highlight w:val="none"/>
        </w:rPr>
        <w:t>竣工验收申请</w:t>
      </w:r>
    </w:p>
    <w:p>
      <w:pPr>
        <w:pStyle w:val="7"/>
        <w:numPr>
          <w:ilvl w:val="2"/>
          <w:numId w:val="6"/>
        </w:numPr>
        <w:ind w:left="0" w:firstLine="420" w:firstLineChars="200"/>
        <w:rPr>
          <w:color w:val="auto"/>
          <w:highlight w:val="none"/>
        </w:rPr>
      </w:pPr>
      <w:r>
        <w:rPr>
          <w:rFonts w:hint="eastAsia"/>
          <w:color w:val="auto"/>
          <w:highlight w:val="none"/>
        </w:rPr>
        <w:t>当工程具备以下条件时，承包人即可向监理人报送竣工验收申请：</w:t>
      </w:r>
    </w:p>
    <w:p>
      <w:pPr>
        <w:pStyle w:val="8"/>
        <w:numPr>
          <w:ilvl w:val="0"/>
          <w:numId w:val="34"/>
        </w:numPr>
        <w:ind w:left="0" w:firstLine="420" w:firstLineChars="200"/>
        <w:rPr>
          <w:color w:val="auto"/>
          <w:highlight w:val="none"/>
        </w:rPr>
      </w:pPr>
      <w:r>
        <w:rPr>
          <w:rFonts w:hint="eastAsia"/>
          <w:color w:val="auto"/>
          <w:highlight w:val="none"/>
        </w:rPr>
        <w:t>除监理人同意列入缺陷责任期内完成的尾工（甩项）工程和缺陷修补工作外，合同范围内的全部单位工程以及有关工作，包括合同要求的试验、试运行以及检验和验收均已完成，并符合合同要求；</w:t>
      </w:r>
    </w:p>
    <w:p>
      <w:pPr>
        <w:pStyle w:val="8"/>
        <w:numPr>
          <w:ilvl w:val="0"/>
          <w:numId w:val="34"/>
        </w:numPr>
        <w:ind w:left="0" w:firstLine="420" w:firstLineChars="200"/>
        <w:rPr>
          <w:color w:val="auto"/>
          <w:highlight w:val="none"/>
        </w:rPr>
      </w:pPr>
      <w:r>
        <w:rPr>
          <w:rFonts w:hint="eastAsia"/>
          <w:color w:val="auto"/>
          <w:highlight w:val="none"/>
        </w:rPr>
        <w:t xml:space="preserve">已按合同约定的内容和份数备齐了符合要求的工程资料； </w:t>
      </w:r>
    </w:p>
    <w:p>
      <w:pPr>
        <w:pStyle w:val="8"/>
        <w:numPr>
          <w:ilvl w:val="0"/>
          <w:numId w:val="34"/>
        </w:numPr>
        <w:ind w:left="0" w:firstLine="420" w:firstLineChars="200"/>
        <w:rPr>
          <w:color w:val="auto"/>
          <w:highlight w:val="none"/>
        </w:rPr>
      </w:pPr>
      <w:r>
        <w:rPr>
          <w:rFonts w:hint="eastAsia"/>
          <w:color w:val="auto"/>
          <w:highlight w:val="none"/>
        </w:rPr>
        <w:t>已按监理人的要求编制了在缺陷责任期内完成的尾工（甩项）工程和缺陷修补工作清单以及相应施工计划；</w:t>
      </w:r>
    </w:p>
    <w:p>
      <w:pPr>
        <w:pStyle w:val="8"/>
        <w:numPr>
          <w:ilvl w:val="0"/>
          <w:numId w:val="34"/>
        </w:numPr>
        <w:ind w:left="0" w:firstLine="420" w:firstLineChars="200"/>
        <w:rPr>
          <w:color w:val="auto"/>
          <w:highlight w:val="none"/>
        </w:rPr>
      </w:pPr>
      <w:r>
        <w:rPr>
          <w:rFonts w:hint="eastAsia"/>
          <w:color w:val="auto"/>
          <w:highlight w:val="none"/>
        </w:rPr>
        <w:t>已完成监理人要求在竣工验收前应完成的其他工作；</w:t>
      </w:r>
    </w:p>
    <w:p>
      <w:pPr>
        <w:pStyle w:val="8"/>
        <w:numPr>
          <w:ilvl w:val="0"/>
          <w:numId w:val="34"/>
        </w:numPr>
        <w:ind w:left="0" w:firstLine="420" w:firstLineChars="200"/>
        <w:rPr>
          <w:color w:val="auto"/>
          <w:highlight w:val="none"/>
        </w:rPr>
      </w:pPr>
      <w:r>
        <w:rPr>
          <w:rFonts w:hint="eastAsia"/>
          <w:color w:val="auto"/>
          <w:highlight w:val="none"/>
        </w:rPr>
        <w:t>已备妥监理人要求提交的竣工验收资料清单中的全部资料。</w:t>
      </w:r>
    </w:p>
    <w:p>
      <w:pPr>
        <w:pStyle w:val="6"/>
        <w:numPr>
          <w:ilvl w:val="1"/>
          <w:numId w:val="6"/>
        </w:numPr>
        <w:ind w:left="0" w:firstLine="422" w:firstLineChars="200"/>
        <w:rPr>
          <w:color w:val="auto"/>
          <w:highlight w:val="none"/>
        </w:rPr>
      </w:pPr>
      <w:r>
        <w:rPr>
          <w:rFonts w:hint="eastAsia"/>
          <w:color w:val="auto"/>
          <w:highlight w:val="none"/>
        </w:rPr>
        <w:t>验收</w:t>
      </w:r>
    </w:p>
    <w:p>
      <w:pPr>
        <w:pStyle w:val="7"/>
        <w:numPr>
          <w:ilvl w:val="2"/>
          <w:numId w:val="6"/>
        </w:numPr>
        <w:ind w:left="0" w:firstLine="420" w:firstLineChars="200"/>
        <w:rPr>
          <w:color w:val="auto"/>
          <w:highlight w:val="none"/>
        </w:rPr>
      </w:pPr>
      <w:r>
        <w:rPr>
          <w:rFonts w:hint="eastAsia"/>
          <w:color w:val="auto"/>
          <w:highlight w:val="none"/>
        </w:rPr>
        <w:t>监理人收到承包人提交的竣工验收申请报告后，应审查申请报告的各项内容，并按以下不同情况进行处理。</w:t>
      </w:r>
    </w:p>
    <w:p>
      <w:pPr>
        <w:pStyle w:val="8"/>
        <w:numPr>
          <w:ilvl w:val="0"/>
          <w:numId w:val="35"/>
        </w:numPr>
        <w:ind w:left="0" w:firstLine="420" w:firstLineChars="200"/>
        <w:rPr>
          <w:color w:val="auto"/>
          <w:highlight w:val="none"/>
        </w:rPr>
      </w:pPr>
      <w:r>
        <w:rPr>
          <w:rFonts w:hint="eastAsia"/>
          <w:color w:val="auto"/>
          <w:highlight w:val="none"/>
        </w:rPr>
        <w:t>监理人审查后认为尚不具备工程验收条件的，应在收到竣工验收申请报告后的28天内通知承包人，指出在竣工验收前承包人还需进行的工作内容。承包人完成监理人通知的全部工作内容后，应再次提交竣工验收申请报告，直至监理人同意为止。</w:t>
      </w:r>
    </w:p>
    <w:p>
      <w:pPr>
        <w:pStyle w:val="8"/>
        <w:numPr>
          <w:ilvl w:val="0"/>
          <w:numId w:val="35"/>
        </w:numPr>
        <w:ind w:left="0" w:firstLine="420" w:firstLineChars="200"/>
        <w:rPr>
          <w:color w:val="auto"/>
          <w:highlight w:val="none"/>
        </w:rPr>
      </w:pPr>
      <w:r>
        <w:rPr>
          <w:rFonts w:hint="eastAsia"/>
          <w:color w:val="auto"/>
          <w:highlight w:val="none"/>
        </w:rPr>
        <w:t>监理人审查后认为已具备竣工验收条件的，应在收到承包人最后一次提交的竣工验收申请报告后的28天内提请发包人进行工程验收。</w:t>
      </w:r>
    </w:p>
    <w:p>
      <w:pPr>
        <w:pStyle w:val="7"/>
        <w:numPr>
          <w:ilvl w:val="2"/>
          <w:numId w:val="6"/>
        </w:numPr>
        <w:ind w:left="0" w:firstLine="420" w:firstLineChars="200"/>
        <w:rPr>
          <w:color w:val="auto"/>
          <w:highlight w:val="none"/>
        </w:rPr>
      </w:pPr>
      <w:r>
        <w:rPr>
          <w:rFonts w:hint="eastAsia"/>
          <w:color w:val="auto"/>
          <w:highlight w:val="none"/>
        </w:rPr>
        <w:t>发包人经过验收后同意接受工程的，发包人、监理人、承包人共同书面确认竣工验收通过。发包人验收后同意接收工程但提出整修和完善要求的，承包人进行整修和完善，整修和完善工作完成后，监理人复查达到要求的，经发包人同意后，发包人、监理人、承包人书面确认竣工验收通过。发包人、监理人、承包人三方书面确认竣工验收通过之日为竣工验收合格日期。</w:t>
      </w:r>
    </w:p>
    <w:p>
      <w:pPr>
        <w:pStyle w:val="7"/>
        <w:numPr>
          <w:ilvl w:val="2"/>
          <w:numId w:val="6"/>
        </w:numPr>
        <w:ind w:left="0" w:firstLine="420" w:firstLineChars="200"/>
        <w:rPr>
          <w:color w:val="auto"/>
          <w:highlight w:val="none"/>
        </w:rPr>
      </w:pPr>
      <w:r>
        <w:rPr>
          <w:rFonts w:hint="eastAsia"/>
          <w:color w:val="auto"/>
          <w:highlight w:val="none"/>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w:t>
      </w:r>
    </w:p>
    <w:p>
      <w:pPr>
        <w:pStyle w:val="7"/>
        <w:numPr>
          <w:ilvl w:val="2"/>
          <w:numId w:val="6"/>
        </w:numPr>
        <w:ind w:left="0" w:firstLine="420" w:firstLineChars="200"/>
        <w:rPr>
          <w:color w:val="auto"/>
          <w:highlight w:val="none"/>
        </w:rPr>
      </w:pPr>
      <w:r>
        <w:rPr>
          <w:rFonts w:hint="eastAsia"/>
          <w:color w:val="auto"/>
          <w:highlight w:val="none"/>
        </w:rPr>
        <w:t>因承包人工期拖延，造成工程无法按合同约定的竣工验收合格日期通过竣工验收的，承包人无条件同意发包人提前使用未经竣工验收的工程或有权让业主、用户入住、使用或按政府要求交付给业主或客户入住、使用工程，上述情况不视为承包人所承包本合同项下的工程已竣工或验收合格或已交付，承包人仍应当承担工期逾期或质量违约赔偿责任（包括但不限于因承包人上述违约行为而导致发包人逾期交房或政府罚款等）。</w:t>
      </w:r>
    </w:p>
    <w:p>
      <w:pPr>
        <w:pStyle w:val="7"/>
        <w:numPr>
          <w:ilvl w:val="2"/>
          <w:numId w:val="6"/>
        </w:numPr>
        <w:ind w:left="0" w:firstLine="420" w:firstLineChars="200"/>
        <w:rPr>
          <w:color w:val="auto"/>
          <w:highlight w:val="none"/>
        </w:rPr>
      </w:pPr>
      <w:r>
        <w:rPr>
          <w:rFonts w:hint="eastAsia"/>
          <w:color w:val="auto"/>
          <w:highlight w:val="none"/>
        </w:rPr>
        <w:t>承包人根据合同文件应当承担的质量保证责任不因为本工程验收合格而免除，本工程通过竣工验收在任何意义上都不意味着发包人放弃了追究承包人工程质量不合格的违约责任的权利。双方进一步确认，若承包人未按合同文件要求的标准完成施工，无论本工程是否通过竣工验收，发包人均有权随时要求承包人对不符合合同约定的部分予以修理、补救或更换，直至达到符合合同约定为止。</w:t>
      </w:r>
    </w:p>
    <w:p>
      <w:pPr>
        <w:pStyle w:val="7"/>
        <w:numPr>
          <w:ilvl w:val="2"/>
          <w:numId w:val="6"/>
        </w:numPr>
        <w:ind w:left="0" w:firstLine="420" w:firstLineChars="200"/>
        <w:rPr>
          <w:color w:val="auto"/>
          <w:highlight w:val="none"/>
        </w:rPr>
      </w:pPr>
      <w:r>
        <w:rPr>
          <w:rFonts w:hint="eastAsia"/>
          <w:color w:val="auto"/>
          <w:highlight w:val="none"/>
        </w:rPr>
        <w:t>承包人应当随同工程的移交，将与本工程相关的所有技术资料、保修资料、操作指南、质量合格证明、培训手册、程序、密码、数据等一并移交，并负责训练发包人的有关员工对于本工程的操作、维修及紧急程序等，否则发包人有权拒绝向承包人支付任何款项而不承担任何延期付款的责任。本合同因任何原因提前终止或解除时，承包人亦需遵守本条约定。</w:t>
      </w:r>
    </w:p>
    <w:p>
      <w:pPr>
        <w:pStyle w:val="7"/>
        <w:numPr>
          <w:ilvl w:val="2"/>
          <w:numId w:val="6"/>
        </w:numPr>
        <w:ind w:left="0" w:firstLine="420" w:firstLineChars="200"/>
        <w:rPr>
          <w:color w:val="auto"/>
          <w:highlight w:val="none"/>
        </w:rPr>
      </w:pPr>
      <w:r>
        <w:rPr>
          <w:rFonts w:hint="eastAsia"/>
          <w:color w:val="auto"/>
          <w:highlight w:val="none"/>
        </w:rPr>
        <w:t>承包人负责整理和提交的竣工验收资料应当符合工程所在地建设行政主管部门和（或）城市建设档案管理机构有关施工资料的要求。竣工验收资料要求在专用条款中说明。</w:t>
      </w:r>
    </w:p>
    <w:p>
      <w:pPr>
        <w:pStyle w:val="7"/>
        <w:numPr>
          <w:ilvl w:val="2"/>
          <w:numId w:val="6"/>
        </w:numPr>
        <w:ind w:left="0" w:firstLine="420" w:firstLineChars="200"/>
        <w:rPr>
          <w:color w:val="auto"/>
          <w:highlight w:val="none"/>
        </w:rPr>
      </w:pPr>
      <w:r>
        <w:rPr>
          <w:rFonts w:hint="eastAsia"/>
          <w:color w:val="auto"/>
          <w:highlight w:val="none"/>
        </w:rPr>
        <w:t>除非合同中另有约定，除分包工程的验收资料（含竣工图纸）的准备和编制费用（但不包括整理和装订费用）由相应的分包单位承担外，其他所有竣工资料（含竣工图纸）的准备、编制、整理和装订的费用均由承包人承担，该等费用已经包含在承包人的合同暂定总价中，发包人不再为此另行支付。</w:t>
      </w:r>
    </w:p>
    <w:p>
      <w:pPr>
        <w:pStyle w:val="7"/>
        <w:numPr>
          <w:ilvl w:val="2"/>
          <w:numId w:val="6"/>
        </w:numPr>
        <w:ind w:left="0" w:firstLine="420" w:firstLineChars="200"/>
        <w:rPr>
          <w:color w:val="auto"/>
          <w:highlight w:val="none"/>
        </w:rPr>
      </w:pPr>
      <w:r>
        <w:rPr>
          <w:rFonts w:hint="eastAsia"/>
          <w:color w:val="auto"/>
          <w:highlight w:val="none"/>
        </w:rPr>
        <w:t>承包人提供符合竣工备案要求的全套竣工资料是工程竣工验收和结算的前提条件。竣工备案日期为取得当地城市建设档案管理机构竣工备案回执之日。如果承包人提供的竣工资料不能完全反映项目现场工程情况，则发包人有权要求承包人修改，承包人应在发包人规定时间内完成修改使之满足发包人和当地城市建设档案管理机构的要求。</w:t>
      </w:r>
    </w:p>
    <w:p>
      <w:pPr>
        <w:pStyle w:val="7"/>
        <w:numPr>
          <w:ilvl w:val="2"/>
          <w:numId w:val="6"/>
        </w:numPr>
        <w:ind w:left="0" w:firstLine="420" w:firstLineChars="200"/>
        <w:rPr>
          <w:color w:val="auto"/>
          <w:highlight w:val="none"/>
        </w:rPr>
      </w:pPr>
      <w:r>
        <w:rPr>
          <w:rFonts w:hint="eastAsia"/>
          <w:color w:val="auto"/>
          <w:highlight w:val="none"/>
        </w:rPr>
        <w:t>若承包人不遵照发包人或监理人的指示移交工程，则自发包人或监理人发出催告通知之日起，承包人应当按照合同条款约定承担相当于逾期竣工违约责任，直至承包人按照发包人或监理人的要求完成工程移交为止。</w:t>
      </w:r>
    </w:p>
    <w:p>
      <w:pPr>
        <w:pStyle w:val="6"/>
        <w:numPr>
          <w:ilvl w:val="1"/>
          <w:numId w:val="6"/>
        </w:numPr>
        <w:ind w:left="0" w:firstLine="422" w:firstLineChars="200"/>
        <w:rPr>
          <w:color w:val="auto"/>
          <w:highlight w:val="none"/>
        </w:rPr>
      </w:pPr>
      <w:r>
        <w:rPr>
          <w:rFonts w:hint="eastAsia"/>
          <w:color w:val="auto"/>
          <w:highlight w:val="none"/>
        </w:rPr>
        <w:t>施工期运行</w:t>
      </w:r>
    </w:p>
    <w:p>
      <w:pPr>
        <w:pStyle w:val="7"/>
        <w:numPr>
          <w:ilvl w:val="2"/>
          <w:numId w:val="6"/>
        </w:numPr>
        <w:ind w:left="0" w:firstLine="420" w:firstLineChars="200"/>
        <w:rPr>
          <w:color w:val="auto"/>
          <w:highlight w:val="none"/>
        </w:rPr>
      </w:pPr>
      <w:r>
        <w:rPr>
          <w:rFonts w:hint="eastAsia"/>
          <w:color w:val="auto"/>
          <w:highlight w:val="none"/>
        </w:rPr>
        <w:t>施工期运行是指合同工程尚未全部竣工，其中某项或某几项单位工程或工程设备安装已竣工，根据专用条款约定，需要投入施工期运行的，经发包人验收合格，证明能确保安全后，才能在施工期投入运行。</w:t>
      </w:r>
    </w:p>
    <w:p>
      <w:pPr>
        <w:pStyle w:val="7"/>
        <w:numPr>
          <w:ilvl w:val="2"/>
          <w:numId w:val="6"/>
        </w:numPr>
        <w:ind w:left="0" w:firstLine="420" w:firstLineChars="200"/>
        <w:rPr>
          <w:color w:val="auto"/>
          <w:highlight w:val="none"/>
        </w:rPr>
      </w:pPr>
      <w:r>
        <w:rPr>
          <w:rFonts w:hint="eastAsia"/>
          <w:color w:val="auto"/>
          <w:highlight w:val="none"/>
        </w:rPr>
        <w:t>在施工期运行中发现工程或工程设备损坏或存在缺陷的，由承包人进行修复。</w:t>
      </w:r>
    </w:p>
    <w:p>
      <w:pPr>
        <w:pStyle w:val="7"/>
        <w:numPr>
          <w:ilvl w:val="2"/>
          <w:numId w:val="6"/>
        </w:numPr>
        <w:ind w:left="0" w:firstLine="420" w:firstLineChars="200"/>
        <w:rPr>
          <w:color w:val="auto"/>
          <w:highlight w:val="none"/>
        </w:rPr>
      </w:pPr>
      <w:r>
        <w:rPr>
          <w:rFonts w:hint="eastAsia"/>
          <w:color w:val="auto"/>
          <w:highlight w:val="none"/>
        </w:rPr>
        <w:t>若合同文件说明部分工程包含调试，则承包人须负责按合同文件规定对该部分工程进行调试，并依法安排当地政府有关部门对整体安装的现状调试直至验收合格并发予运行/转准字或批文，有关费用已包括在承包人的合同暂定总价内。</w:t>
      </w:r>
    </w:p>
    <w:p>
      <w:pPr>
        <w:pStyle w:val="6"/>
        <w:numPr>
          <w:ilvl w:val="1"/>
          <w:numId w:val="6"/>
        </w:numPr>
        <w:ind w:left="0" w:firstLine="422" w:firstLineChars="200"/>
        <w:rPr>
          <w:color w:val="auto"/>
          <w:highlight w:val="none"/>
        </w:rPr>
      </w:pPr>
      <w:r>
        <w:rPr>
          <w:rFonts w:hint="eastAsia"/>
          <w:color w:val="auto"/>
          <w:highlight w:val="none"/>
        </w:rPr>
        <w:t>试运行</w:t>
      </w:r>
    </w:p>
    <w:p>
      <w:pPr>
        <w:pStyle w:val="7"/>
        <w:numPr>
          <w:ilvl w:val="2"/>
          <w:numId w:val="6"/>
        </w:numPr>
        <w:ind w:left="0" w:firstLine="420" w:firstLineChars="200"/>
        <w:rPr>
          <w:color w:val="auto"/>
          <w:highlight w:val="none"/>
        </w:rPr>
      </w:pPr>
      <w:r>
        <w:rPr>
          <w:rFonts w:hint="eastAsia"/>
          <w:color w:val="auto"/>
          <w:highlight w:val="none"/>
        </w:rPr>
        <w:t>承包人按专用条款约定进行工程及工程设备试运行，负责提供试运行所需的人员、器材和必要的条件，并承担全部试运行费用。</w:t>
      </w:r>
    </w:p>
    <w:p>
      <w:pPr>
        <w:pStyle w:val="7"/>
        <w:numPr>
          <w:ilvl w:val="2"/>
          <w:numId w:val="6"/>
        </w:numPr>
        <w:ind w:left="0" w:firstLine="420" w:firstLineChars="200"/>
        <w:rPr>
          <w:color w:val="auto"/>
          <w:highlight w:val="none"/>
        </w:rPr>
      </w:pPr>
      <w:r>
        <w:rPr>
          <w:rFonts w:hint="eastAsia"/>
          <w:color w:val="auto"/>
          <w:highlight w:val="none"/>
        </w:rPr>
        <w:t>由于承包人的原因导致试运行失败的，承包人应采取措施保证试运行合格，并承担相应费用。由于发包人的原因导致试运行失败的，承包人应当采取措施保证试运行合格，发包人应承担由此产生的费用。</w:t>
      </w:r>
    </w:p>
    <w:p>
      <w:pPr>
        <w:pStyle w:val="6"/>
        <w:numPr>
          <w:ilvl w:val="1"/>
          <w:numId w:val="6"/>
        </w:numPr>
        <w:ind w:left="0" w:firstLine="422" w:firstLineChars="200"/>
        <w:rPr>
          <w:color w:val="auto"/>
          <w:highlight w:val="none"/>
        </w:rPr>
      </w:pPr>
      <w:r>
        <w:rPr>
          <w:rFonts w:hint="eastAsia"/>
          <w:color w:val="auto"/>
          <w:highlight w:val="none"/>
        </w:rPr>
        <w:t>竣工清场</w:t>
      </w:r>
    </w:p>
    <w:p>
      <w:pPr>
        <w:pStyle w:val="7"/>
        <w:numPr>
          <w:ilvl w:val="2"/>
          <w:numId w:val="6"/>
        </w:numPr>
        <w:ind w:left="0" w:firstLine="420" w:firstLineChars="200"/>
        <w:rPr>
          <w:color w:val="auto"/>
          <w:highlight w:val="none"/>
        </w:rPr>
      </w:pPr>
      <w:r>
        <w:rPr>
          <w:rFonts w:hint="eastAsia"/>
          <w:color w:val="auto"/>
          <w:highlight w:val="none"/>
        </w:rPr>
        <w:t>工程竣工验收通过后，承包人应按以下要求对施工场地进行清理，直至监理人检验合格为止。竣工清场费用由承包人承担。</w:t>
      </w:r>
    </w:p>
    <w:p>
      <w:pPr>
        <w:pStyle w:val="8"/>
        <w:numPr>
          <w:ilvl w:val="0"/>
          <w:numId w:val="36"/>
        </w:numPr>
        <w:ind w:left="0" w:firstLine="420" w:firstLineChars="200"/>
        <w:rPr>
          <w:color w:val="auto"/>
          <w:highlight w:val="none"/>
        </w:rPr>
      </w:pPr>
      <w:r>
        <w:rPr>
          <w:rFonts w:hint="eastAsia"/>
          <w:color w:val="auto"/>
          <w:highlight w:val="none"/>
        </w:rPr>
        <w:t>施工场地内残留的垃圾已全部清除出场；</w:t>
      </w:r>
    </w:p>
    <w:p>
      <w:pPr>
        <w:pStyle w:val="8"/>
        <w:numPr>
          <w:ilvl w:val="0"/>
          <w:numId w:val="36"/>
        </w:numPr>
        <w:ind w:left="0" w:firstLine="420" w:firstLineChars="200"/>
        <w:rPr>
          <w:color w:val="auto"/>
          <w:highlight w:val="none"/>
        </w:rPr>
      </w:pPr>
      <w:r>
        <w:rPr>
          <w:rFonts w:hint="eastAsia"/>
          <w:color w:val="auto"/>
          <w:highlight w:val="none"/>
        </w:rPr>
        <w:t>临时工程已拆除，场地已按合同要求进行清理、平整或复原；</w:t>
      </w:r>
    </w:p>
    <w:p>
      <w:pPr>
        <w:pStyle w:val="8"/>
        <w:numPr>
          <w:ilvl w:val="0"/>
          <w:numId w:val="36"/>
        </w:numPr>
        <w:ind w:left="0" w:firstLine="420" w:firstLineChars="200"/>
        <w:rPr>
          <w:color w:val="auto"/>
          <w:highlight w:val="none"/>
        </w:rPr>
      </w:pPr>
      <w:r>
        <w:rPr>
          <w:rFonts w:hint="eastAsia"/>
          <w:color w:val="auto"/>
          <w:highlight w:val="none"/>
        </w:rPr>
        <w:t>按合同约定应撤离的承包人设备和剩余的材料，包括废弃的施工设备和材料，已按计划撤离施工场地；</w:t>
      </w:r>
    </w:p>
    <w:p>
      <w:pPr>
        <w:pStyle w:val="8"/>
        <w:numPr>
          <w:ilvl w:val="0"/>
          <w:numId w:val="36"/>
        </w:numPr>
        <w:ind w:left="0" w:firstLine="420" w:firstLineChars="200"/>
        <w:rPr>
          <w:color w:val="auto"/>
          <w:highlight w:val="none"/>
        </w:rPr>
      </w:pPr>
      <w:r>
        <w:rPr>
          <w:rFonts w:hint="eastAsia"/>
          <w:color w:val="auto"/>
          <w:highlight w:val="none"/>
        </w:rPr>
        <w:t>工程建筑物周边及其附近道路、河道的施工堆积物，已按监理人指示全部清理；</w:t>
      </w:r>
    </w:p>
    <w:p>
      <w:pPr>
        <w:pStyle w:val="8"/>
        <w:numPr>
          <w:ilvl w:val="0"/>
          <w:numId w:val="36"/>
        </w:numPr>
        <w:ind w:left="0" w:firstLine="420" w:firstLineChars="200"/>
        <w:rPr>
          <w:color w:val="auto"/>
          <w:highlight w:val="none"/>
        </w:rPr>
      </w:pPr>
    </w:p>
    <w:p>
      <w:pPr>
        <w:pStyle w:val="8"/>
        <w:numPr>
          <w:ilvl w:val="0"/>
          <w:numId w:val="36"/>
        </w:numPr>
        <w:ind w:left="0" w:firstLine="420" w:firstLineChars="200"/>
        <w:rPr>
          <w:color w:val="auto"/>
          <w:highlight w:val="none"/>
        </w:rPr>
      </w:pPr>
      <w:r>
        <w:rPr>
          <w:rFonts w:hint="eastAsia"/>
          <w:color w:val="auto"/>
          <w:highlight w:val="none"/>
        </w:rPr>
        <w:t>监理人指示的其他的场地清理工作已全部完成。</w:t>
      </w:r>
    </w:p>
    <w:p>
      <w:pPr>
        <w:pStyle w:val="8"/>
        <w:numPr>
          <w:ilvl w:val="0"/>
          <w:numId w:val="36"/>
        </w:numPr>
        <w:ind w:left="0" w:firstLine="420" w:firstLineChars="200"/>
        <w:rPr>
          <w:color w:val="auto"/>
          <w:highlight w:val="none"/>
        </w:rPr>
      </w:pPr>
      <w:r>
        <w:rPr>
          <w:rFonts w:hint="eastAsia"/>
          <w:color w:val="auto"/>
          <w:highlight w:val="none"/>
        </w:rPr>
        <w:t>除专用合同条款另有约定外，承包人应予工程竣工验收通过后10天内完成上述清理工作。</w:t>
      </w:r>
    </w:p>
    <w:p>
      <w:pPr>
        <w:pStyle w:val="7"/>
        <w:numPr>
          <w:ilvl w:val="2"/>
          <w:numId w:val="6"/>
        </w:numPr>
        <w:ind w:left="0" w:firstLine="420" w:firstLineChars="200"/>
        <w:rPr>
          <w:color w:val="auto"/>
          <w:highlight w:val="none"/>
        </w:rPr>
      </w:pPr>
      <w:r>
        <w:rPr>
          <w:rFonts w:hint="eastAsia"/>
          <w:color w:val="auto"/>
          <w:highlight w:val="none"/>
        </w:rPr>
        <w:t>承包人未按监理人的要求恢复临时占地，或者场地清理未达到合同约定的，发包人有权委托其他人恢复或清理，所发生的费用从应支付给承包人的款项中扣除。承包人未搬离而遗留在施工场地或其周围的物品，包括但不限于设备、器械、工具、材料等，均视为承包人已将其丢弃、放弃，发包人有权自行或委托第三人予以处置，无须承担任何责任，所发生的费用从应支付给承包人的款项中扣除。第18.7条情形亦同。</w:t>
      </w:r>
    </w:p>
    <w:p>
      <w:pPr>
        <w:pStyle w:val="6"/>
        <w:numPr>
          <w:ilvl w:val="1"/>
          <w:numId w:val="6"/>
        </w:numPr>
        <w:ind w:left="0" w:firstLine="422" w:firstLineChars="200"/>
        <w:rPr>
          <w:color w:val="auto"/>
          <w:highlight w:val="none"/>
        </w:rPr>
      </w:pPr>
      <w:r>
        <w:rPr>
          <w:rFonts w:hint="eastAsia"/>
          <w:color w:val="auto"/>
          <w:highlight w:val="none"/>
        </w:rPr>
        <w:t>施工队伍的撤离</w:t>
      </w:r>
    </w:p>
    <w:p>
      <w:pPr>
        <w:pStyle w:val="7"/>
        <w:numPr>
          <w:ilvl w:val="2"/>
          <w:numId w:val="6"/>
        </w:numPr>
        <w:ind w:left="0" w:firstLine="420" w:firstLineChars="200"/>
        <w:rPr>
          <w:color w:val="auto"/>
          <w:highlight w:val="none"/>
        </w:rPr>
      </w:pPr>
      <w:r>
        <w:rPr>
          <w:rFonts w:hint="eastAsia"/>
          <w:color w:val="auto"/>
          <w:highlight w:val="none"/>
        </w:rPr>
        <w:t>工程竣工验收通过后，除需进行工程整改或经监理人同意在缺陷责任期内继续工作和使用的人员、施工设备和临时工程外，其余的人员、施工设备和临时工程均应撤离施工场地或拆除。除专用合同条款另有约定外，承包人应于工程竣工验收通过后10天内完成该等撤离和拆除。除合同另有约定外，缺陷责任期满时，承包人的人员和施工设备应全部撤离施工场地。</w:t>
      </w:r>
    </w:p>
    <w:p>
      <w:pPr>
        <w:pStyle w:val="5"/>
        <w:numPr>
          <w:ilvl w:val="0"/>
          <w:numId w:val="6"/>
        </w:numPr>
        <w:ind w:left="0" w:firstLine="562" w:firstLineChars="200"/>
        <w:rPr>
          <w:color w:val="auto"/>
          <w:highlight w:val="none"/>
        </w:rPr>
      </w:pPr>
      <w:bookmarkStart w:id="175" w:name="_Toc33448392"/>
      <w:bookmarkStart w:id="176" w:name="_Toc33092175"/>
      <w:bookmarkStart w:id="177" w:name="_Toc33446065"/>
      <w:bookmarkStart w:id="178" w:name="_Toc33448463"/>
      <w:bookmarkStart w:id="179" w:name="_Toc15941"/>
      <w:bookmarkStart w:id="180" w:name="_Toc33445962"/>
      <w:bookmarkStart w:id="181" w:name="_Toc133502187"/>
      <w:bookmarkStart w:id="182" w:name="_Toc464649552"/>
      <w:bookmarkStart w:id="183" w:name="_Toc33445887"/>
      <w:r>
        <w:rPr>
          <w:rFonts w:hint="eastAsia"/>
          <w:color w:val="auto"/>
          <w:highlight w:val="none"/>
        </w:rPr>
        <w:t>缺陷责任与保修</w:t>
      </w:r>
      <w:bookmarkEnd w:id="175"/>
      <w:bookmarkEnd w:id="176"/>
      <w:bookmarkEnd w:id="177"/>
      <w:bookmarkEnd w:id="178"/>
      <w:bookmarkEnd w:id="179"/>
      <w:bookmarkEnd w:id="180"/>
      <w:bookmarkEnd w:id="181"/>
      <w:bookmarkEnd w:id="182"/>
      <w:bookmarkEnd w:id="183"/>
    </w:p>
    <w:p>
      <w:pPr>
        <w:pStyle w:val="6"/>
        <w:numPr>
          <w:ilvl w:val="1"/>
          <w:numId w:val="6"/>
        </w:numPr>
        <w:ind w:left="0" w:firstLine="422" w:firstLineChars="200"/>
        <w:rPr>
          <w:color w:val="auto"/>
          <w:highlight w:val="none"/>
        </w:rPr>
      </w:pPr>
      <w:r>
        <w:rPr>
          <w:rFonts w:hint="eastAsia"/>
          <w:color w:val="auto"/>
          <w:highlight w:val="none"/>
        </w:rPr>
        <w:t>工程保修的原则</w:t>
      </w:r>
    </w:p>
    <w:p>
      <w:pPr>
        <w:adjustRightInd w:val="0"/>
        <w:snapToGrid w:val="0"/>
        <w:spacing w:line="360" w:lineRule="auto"/>
        <w:ind w:firstLine="420" w:firstLineChars="200"/>
        <w:rPr>
          <w:color w:val="auto"/>
          <w:highlight w:val="none"/>
        </w:rPr>
      </w:pPr>
      <w:r>
        <w:rPr>
          <w:rFonts w:hint="eastAsia"/>
          <w:color w:val="auto"/>
          <w:highlight w:val="none"/>
        </w:rPr>
        <w:t>在工程移交发包人后，因承包人原因产生的质量缺陷，承包人应承担质量缺陷责任和保修义务。缺陷责任期届满，承包人仍应按合同约定的工程各部位保修年限承担保修义务。</w:t>
      </w:r>
    </w:p>
    <w:p>
      <w:pPr>
        <w:pStyle w:val="6"/>
        <w:numPr>
          <w:ilvl w:val="1"/>
          <w:numId w:val="6"/>
        </w:numPr>
        <w:ind w:left="0" w:firstLine="422" w:firstLineChars="200"/>
        <w:rPr>
          <w:color w:val="auto"/>
          <w:highlight w:val="none"/>
        </w:rPr>
      </w:pPr>
      <w:r>
        <w:rPr>
          <w:rFonts w:hint="eastAsia"/>
          <w:color w:val="auto"/>
          <w:highlight w:val="none"/>
        </w:rPr>
        <w:t>缺陷责任期</w:t>
      </w:r>
    </w:p>
    <w:p>
      <w:pPr>
        <w:pStyle w:val="7"/>
        <w:numPr>
          <w:ilvl w:val="2"/>
          <w:numId w:val="6"/>
        </w:numPr>
        <w:ind w:left="0" w:firstLine="420" w:firstLineChars="200"/>
        <w:rPr>
          <w:color w:val="auto"/>
          <w:highlight w:val="none"/>
        </w:rPr>
      </w:pPr>
      <w:r>
        <w:rPr>
          <w:rFonts w:hint="eastAsia"/>
          <w:color w:val="auto"/>
          <w:highlight w:val="none"/>
        </w:rPr>
        <w:t>缺陷责任期起止时间按照专用条款的约定执行。</w:t>
      </w:r>
    </w:p>
    <w:p>
      <w:pPr>
        <w:pStyle w:val="7"/>
        <w:numPr>
          <w:ilvl w:val="2"/>
          <w:numId w:val="6"/>
        </w:numPr>
        <w:ind w:left="0" w:firstLine="420" w:firstLineChars="200"/>
        <w:rPr>
          <w:color w:val="auto"/>
          <w:highlight w:val="none"/>
        </w:rPr>
      </w:pPr>
      <w:r>
        <w:rPr>
          <w:rFonts w:hint="eastAsia"/>
          <w:color w:val="auto"/>
          <w:highlight w:val="none"/>
        </w:rPr>
        <w:t>园林绿化工程竣工验收合格后，因承包人原因导致的缺陷或损坏致使工程、单位工程或某项主要设备不能按原定目的使用的，则发包人有权要求承包人延长缺陷责任期，并应在原缺陷责任期届满前发出延长通知。</w:t>
      </w:r>
    </w:p>
    <w:p>
      <w:pPr>
        <w:pStyle w:val="7"/>
        <w:numPr>
          <w:ilvl w:val="2"/>
          <w:numId w:val="6"/>
        </w:numPr>
        <w:ind w:left="0" w:firstLine="420" w:firstLineChars="200"/>
        <w:rPr>
          <w:color w:val="auto"/>
          <w:highlight w:val="none"/>
        </w:rPr>
      </w:pPr>
      <w:r>
        <w:rPr>
          <w:rFonts w:hint="eastAsia"/>
          <w:color w:val="auto"/>
          <w:highlight w:val="none"/>
        </w:rPr>
        <w:t>任何一项缺陷或损坏修复后，经检查证明其影响了工程或工程设备的使用性能，承包人应重新进行合同约定的试验和试运行，试验和试运行的全部费用应由责任方承担。</w:t>
      </w:r>
    </w:p>
    <w:p>
      <w:pPr>
        <w:pStyle w:val="7"/>
        <w:numPr>
          <w:ilvl w:val="2"/>
          <w:numId w:val="6"/>
        </w:numPr>
        <w:ind w:left="0" w:firstLine="420" w:firstLineChars="200"/>
        <w:rPr>
          <w:color w:val="auto"/>
          <w:highlight w:val="none"/>
        </w:rPr>
      </w:pPr>
      <w:r>
        <w:rPr>
          <w:rFonts w:hint="eastAsia"/>
          <w:color w:val="auto"/>
          <w:highlight w:val="none"/>
        </w:rPr>
        <w:t xml:space="preserve">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w:t>
      </w:r>
    </w:p>
    <w:p>
      <w:pPr>
        <w:pStyle w:val="6"/>
        <w:numPr>
          <w:ilvl w:val="1"/>
          <w:numId w:val="6"/>
        </w:numPr>
        <w:ind w:left="0" w:firstLine="422" w:firstLineChars="200"/>
        <w:rPr>
          <w:color w:val="auto"/>
          <w:highlight w:val="none"/>
        </w:rPr>
      </w:pPr>
      <w:r>
        <w:rPr>
          <w:rFonts w:hint="eastAsia"/>
          <w:color w:val="auto"/>
          <w:highlight w:val="none"/>
        </w:rPr>
        <w:t>缺陷责任程序</w:t>
      </w:r>
    </w:p>
    <w:p>
      <w:pPr>
        <w:pStyle w:val="7"/>
        <w:numPr>
          <w:ilvl w:val="2"/>
          <w:numId w:val="6"/>
        </w:numPr>
        <w:ind w:left="0" w:firstLine="420" w:firstLineChars="200"/>
        <w:rPr>
          <w:color w:val="auto"/>
          <w:highlight w:val="none"/>
        </w:rPr>
      </w:pPr>
      <w:r>
        <w:rPr>
          <w:rFonts w:hint="eastAsia"/>
          <w:color w:val="auto"/>
          <w:highlight w:val="none"/>
        </w:rPr>
        <w:t>若承包人在合理时间内未完成发包人指明的缺陷的修复工程,或经发包人证实承包人在维修期间无故拖延，则发包人有权雇佣其他机构或人士进行修复和完成剩余工程。发包人有权从本工程质量保证金中扣除应由承包人承担的费用；质量保证金不足以清偿的，承包人应按发包人的通知另行支付、补足。</w:t>
      </w:r>
    </w:p>
    <w:p>
      <w:pPr>
        <w:pStyle w:val="7"/>
        <w:numPr>
          <w:ilvl w:val="2"/>
          <w:numId w:val="6"/>
        </w:numPr>
        <w:ind w:left="0" w:firstLine="420" w:firstLineChars="200"/>
        <w:rPr>
          <w:color w:val="auto"/>
          <w:highlight w:val="none"/>
        </w:rPr>
      </w:pPr>
      <w:r>
        <w:rPr>
          <w:rFonts w:hint="eastAsia"/>
          <w:color w:val="auto"/>
          <w:highlight w:val="none"/>
        </w:rPr>
        <w:t>缺陷责任期内承包人为缺陷修复工作需要，有权进入工程现场，但应遵守发包人的保安和保密规定。</w:t>
      </w:r>
    </w:p>
    <w:p>
      <w:pPr>
        <w:pStyle w:val="7"/>
        <w:numPr>
          <w:ilvl w:val="2"/>
          <w:numId w:val="6"/>
        </w:numPr>
        <w:ind w:left="0" w:firstLine="420" w:firstLineChars="200"/>
        <w:rPr>
          <w:color w:val="auto"/>
          <w:highlight w:val="none"/>
        </w:rPr>
      </w:pPr>
      <w:r>
        <w:rPr>
          <w:rFonts w:hint="eastAsia"/>
          <w:color w:val="auto"/>
          <w:highlight w:val="none"/>
        </w:rPr>
        <w:t>经承包人按照专用条款约定的期限向发包人书面提出质量保证金支付申请，发包人确认工程质量无异议，或承包人已按合同约定履行保修责任，发包人应在接到申请后28天向承包人支付保修金，保修金不计利息。保修金的支付并不表示承包人保修责任的结束，承包人仍须按照相关法律法规规章及本合同，包括但不限于专用条款的规定继续履行保修责任、质量责任。</w:t>
      </w:r>
    </w:p>
    <w:p>
      <w:pPr>
        <w:pStyle w:val="6"/>
        <w:numPr>
          <w:ilvl w:val="1"/>
          <w:numId w:val="6"/>
        </w:numPr>
        <w:ind w:left="0" w:firstLine="422" w:firstLineChars="200"/>
        <w:rPr>
          <w:color w:val="auto"/>
          <w:highlight w:val="none"/>
        </w:rPr>
      </w:pPr>
      <w:r>
        <w:rPr>
          <w:rFonts w:hint="eastAsia"/>
          <w:color w:val="auto"/>
          <w:highlight w:val="none"/>
        </w:rPr>
        <w:t>保修</w:t>
      </w:r>
    </w:p>
    <w:p>
      <w:pPr>
        <w:pStyle w:val="7"/>
        <w:numPr>
          <w:ilvl w:val="2"/>
          <w:numId w:val="6"/>
        </w:numPr>
        <w:ind w:left="0" w:firstLine="420" w:firstLineChars="200"/>
        <w:rPr>
          <w:color w:val="auto"/>
          <w:highlight w:val="none"/>
        </w:rPr>
      </w:pPr>
      <w:r>
        <w:rPr>
          <w:rFonts w:hint="eastAsia"/>
          <w:color w:val="auto"/>
          <w:highlight w:val="none"/>
        </w:rPr>
        <w:t>保修责任</w:t>
      </w:r>
    </w:p>
    <w:p>
      <w:pPr>
        <w:adjustRightInd w:val="0"/>
        <w:snapToGrid w:val="0"/>
        <w:spacing w:line="360" w:lineRule="auto"/>
        <w:ind w:firstLine="420" w:firstLineChars="200"/>
        <w:rPr>
          <w:color w:val="auto"/>
          <w:highlight w:val="none"/>
        </w:rPr>
      </w:pPr>
      <w:r>
        <w:rPr>
          <w:rFonts w:hint="eastAsia"/>
          <w:color w:val="auto"/>
          <w:highlight w:val="none"/>
        </w:rPr>
        <w:t>工程保修期及具体分部分项工程的保修期由合同当事人在专用合同条款中约定，但不得低于法定最低保修年限。在工程保修期内，承包人应当根据有关法律规定以及合同约定承担保修责任。</w:t>
      </w:r>
    </w:p>
    <w:p>
      <w:pPr>
        <w:pStyle w:val="7"/>
        <w:numPr>
          <w:ilvl w:val="2"/>
          <w:numId w:val="6"/>
        </w:numPr>
        <w:ind w:left="0" w:firstLine="420" w:firstLineChars="200"/>
        <w:rPr>
          <w:color w:val="auto"/>
          <w:highlight w:val="none"/>
        </w:rPr>
      </w:pPr>
      <w:r>
        <w:rPr>
          <w:rFonts w:hint="eastAsia"/>
          <w:color w:val="auto"/>
          <w:highlight w:val="none"/>
        </w:rPr>
        <w:t>修复费用</w:t>
      </w:r>
    </w:p>
    <w:p>
      <w:pPr>
        <w:adjustRightInd w:val="0"/>
        <w:snapToGrid w:val="0"/>
        <w:spacing w:line="360" w:lineRule="auto"/>
        <w:ind w:firstLine="420" w:firstLineChars="200"/>
        <w:rPr>
          <w:color w:val="auto"/>
          <w:highlight w:val="none"/>
        </w:rPr>
      </w:pPr>
      <w:r>
        <w:rPr>
          <w:rFonts w:hint="eastAsia"/>
          <w:color w:val="auto"/>
          <w:highlight w:val="none"/>
        </w:rPr>
        <w:t>保修期内，修复的费用按照以下约定处理：</w:t>
      </w:r>
    </w:p>
    <w:p>
      <w:pPr>
        <w:pStyle w:val="8"/>
        <w:numPr>
          <w:ilvl w:val="0"/>
          <w:numId w:val="37"/>
        </w:numPr>
        <w:ind w:left="0" w:firstLine="420" w:firstLineChars="200"/>
        <w:rPr>
          <w:color w:val="auto"/>
          <w:highlight w:val="none"/>
        </w:rPr>
      </w:pPr>
      <w:r>
        <w:rPr>
          <w:rFonts w:hint="eastAsia"/>
          <w:color w:val="auto"/>
          <w:highlight w:val="none"/>
        </w:rPr>
        <w:t>保修期内，因承包人原因造成工程的缺陷、损坏，承包人应负责修复，并承担修复的费用以及因工程的缺陷、损坏造成的人身伤害和财产损失；</w:t>
      </w:r>
    </w:p>
    <w:p>
      <w:pPr>
        <w:pStyle w:val="8"/>
        <w:numPr>
          <w:ilvl w:val="0"/>
          <w:numId w:val="37"/>
        </w:numPr>
        <w:ind w:left="0" w:firstLine="420" w:firstLineChars="200"/>
        <w:rPr>
          <w:color w:val="auto"/>
          <w:highlight w:val="none"/>
        </w:rPr>
      </w:pPr>
      <w:r>
        <w:rPr>
          <w:rFonts w:hint="eastAsia"/>
          <w:color w:val="auto"/>
          <w:highlight w:val="none"/>
        </w:rPr>
        <w:t>保修期内，因发包人使用不当造成工程的缺陷、损坏，可以委托承包人修复，但发包人应承担修复的费用；</w:t>
      </w:r>
    </w:p>
    <w:p>
      <w:pPr>
        <w:pStyle w:val="8"/>
        <w:numPr>
          <w:ilvl w:val="0"/>
          <w:numId w:val="37"/>
        </w:numPr>
        <w:ind w:left="0" w:firstLine="420" w:firstLineChars="200"/>
        <w:rPr>
          <w:color w:val="auto"/>
          <w:highlight w:val="none"/>
        </w:rPr>
      </w:pPr>
      <w:r>
        <w:rPr>
          <w:rFonts w:hint="eastAsia"/>
          <w:color w:val="auto"/>
          <w:highlight w:val="none"/>
        </w:rPr>
        <w:t>因其他原因造成工程的缺陷、损坏，可以委托承包人修复，发包人应承担修复的费用，因工程的缺陷、损坏造成的人身伤害和财产损失由责任方承担。</w:t>
      </w:r>
    </w:p>
    <w:p>
      <w:pPr>
        <w:pStyle w:val="7"/>
        <w:numPr>
          <w:ilvl w:val="2"/>
          <w:numId w:val="6"/>
        </w:numPr>
        <w:ind w:left="0" w:firstLine="420" w:firstLineChars="200"/>
        <w:rPr>
          <w:color w:val="auto"/>
          <w:highlight w:val="none"/>
        </w:rPr>
      </w:pPr>
      <w:r>
        <w:rPr>
          <w:rFonts w:hint="eastAsia"/>
          <w:color w:val="auto"/>
          <w:highlight w:val="none"/>
        </w:rPr>
        <w:t>修复通知</w:t>
      </w:r>
    </w:p>
    <w:p>
      <w:pPr>
        <w:adjustRightInd w:val="0"/>
        <w:snapToGrid w:val="0"/>
        <w:spacing w:line="360" w:lineRule="auto"/>
        <w:ind w:firstLine="420" w:firstLineChars="200"/>
        <w:rPr>
          <w:color w:val="auto"/>
          <w:highlight w:val="none"/>
        </w:rPr>
      </w:pPr>
      <w:r>
        <w:rPr>
          <w:rFonts w:hint="eastAsia"/>
          <w:color w:val="auto"/>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pStyle w:val="7"/>
        <w:numPr>
          <w:ilvl w:val="2"/>
          <w:numId w:val="6"/>
        </w:numPr>
        <w:ind w:left="0" w:firstLine="420" w:firstLineChars="200"/>
        <w:rPr>
          <w:color w:val="auto"/>
          <w:highlight w:val="none"/>
        </w:rPr>
      </w:pPr>
      <w:r>
        <w:rPr>
          <w:rFonts w:hint="eastAsia"/>
          <w:color w:val="auto"/>
          <w:highlight w:val="none"/>
        </w:rPr>
        <w:t>未能修复</w:t>
      </w:r>
    </w:p>
    <w:p>
      <w:pPr>
        <w:adjustRightInd w:val="0"/>
        <w:snapToGrid w:val="0"/>
        <w:spacing w:line="360" w:lineRule="auto"/>
        <w:ind w:firstLine="420" w:firstLineChars="200"/>
        <w:rPr>
          <w:color w:val="auto"/>
          <w:highlight w:val="none"/>
        </w:rPr>
      </w:pPr>
      <w:r>
        <w:rPr>
          <w:rFonts w:hint="eastAsia"/>
          <w:color w:val="auto"/>
          <w:highlight w:val="none"/>
        </w:rPr>
        <w:t>因承包人原因造成工程的缺陷或损坏，承包人拒绝维修或未能在合理期限内修复缺陷或损坏，且经发包人书面催告后仍未修复的，发包人有权自行修复或委托第三方修复，所需费用由承包人承担。</w:t>
      </w:r>
    </w:p>
    <w:p>
      <w:pPr>
        <w:pStyle w:val="7"/>
        <w:numPr>
          <w:ilvl w:val="2"/>
          <w:numId w:val="6"/>
        </w:numPr>
        <w:ind w:left="0" w:firstLine="420" w:firstLineChars="200"/>
        <w:rPr>
          <w:color w:val="auto"/>
          <w:highlight w:val="none"/>
        </w:rPr>
      </w:pPr>
      <w:r>
        <w:rPr>
          <w:rFonts w:hint="eastAsia"/>
          <w:color w:val="auto"/>
          <w:highlight w:val="none"/>
        </w:rPr>
        <w:t>承包人出入权</w:t>
      </w:r>
    </w:p>
    <w:p>
      <w:pPr>
        <w:adjustRightInd w:val="0"/>
        <w:snapToGrid w:val="0"/>
        <w:spacing w:line="360" w:lineRule="auto"/>
        <w:ind w:firstLine="420" w:firstLineChars="200"/>
        <w:rPr>
          <w:color w:val="auto"/>
          <w:highlight w:val="none"/>
        </w:rPr>
      </w:pPr>
      <w:r>
        <w:rPr>
          <w:rFonts w:hint="eastAsia"/>
          <w:color w:val="auto"/>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numPr>
          <w:ilvl w:val="0"/>
          <w:numId w:val="6"/>
        </w:numPr>
        <w:ind w:left="0" w:firstLine="562" w:firstLineChars="200"/>
        <w:rPr>
          <w:color w:val="auto"/>
          <w:highlight w:val="none"/>
        </w:rPr>
      </w:pPr>
      <w:bookmarkStart w:id="184" w:name="_Toc8942"/>
      <w:bookmarkStart w:id="185" w:name="_Toc133502188"/>
      <w:bookmarkStart w:id="186" w:name="_Toc33448464"/>
      <w:bookmarkStart w:id="187" w:name="_Toc464649553"/>
      <w:bookmarkStart w:id="188" w:name="_Toc33445888"/>
      <w:bookmarkStart w:id="189" w:name="_Toc33092176"/>
      <w:bookmarkStart w:id="190" w:name="_Toc33446066"/>
      <w:bookmarkStart w:id="191" w:name="_Toc33448393"/>
      <w:bookmarkStart w:id="192" w:name="_Toc33445963"/>
      <w:r>
        <w:rPr>
          <w:rFonts w:hint="eastAsia"/>
          <w:color w:val="auto"/>
          <w:highlight w:val="none"/>
        </w:rPr>
        <w:t>保险</w:t>
      </w:r>
      <w:bookmarkEnd w:id="184"/>
      <w:bookmarkEnd w:id="185"/>
      <w:bookmarkEnd w:id="186"/>
      <w:bookmarkEnd w:id="187"/>
      <w:bookmarkEnd w:id="188"/>
      <w:bookmarkEnd w:id="189"/>
      <w:bookmarkEnd w:id="190"/>
      <w:bookmarkEnd w:id="191"/>
      <w:bookmarkEnd w:id="192"/>
    </w:p>
    <w:p>
      <w:pPr>
        <w:pStyle w:val="6"/>
        <w:numPr>
          <w:ilvl w:val="1"/>
          <w:numId w:val="6"/>
        </w:numPr>
        <w:ind w:left="0" w:firstLine="422" w:firstLineChars="200"/>
        <w:rPr>
          <w:color w:val="auto"/>
          <w:highlight w:val="none"/>
        </w:rPr>
      </w:pPr>
      <w:r>
        <w:rPr>
          <w:rFonts w:hint="eastAsia"/>
          <w:color w:val="auto"/>
          <w:highlight w:val="none"/>
        </w:rPr>
        <w:t>建筑工程一切险(含第三者责任险）</w:t>
      </w:r>
    </w:p>
    <w:p>
      <w:pPr>
        <w:pStyle w:val="7"/>
        <w:numPr>
          <w:ilvl w:val="2"/>
          <w:numId w:val="6"/>
        </w:numPr>
        <w:ind w:left="0" w:firstLine="420" w:firstLineChars="200"/>
        <w:rPr>
          <w:color w:val="auto"/>
          <w:highlight w:val="none"/>
        </w:rPr>
      </w:pPr>
      <w:r>
        <w:rPr>
          <w:rFonts w:hint="eastAsia"/>
          <w:color w:val="auto"/>
          <w:highlight w:val="none"/>
        </w:rPr>
        <w:t>在不免除或减损承包人按本合同所承担的全部责任和义务的前提下，本工程项目应投保建筑工程一切险(含第三者责任险）。本工程项目应投保的建筑工程一切险（含第三者责任险）的相关费用均已包含在合同总价中。其具体的投保内容、保险金额、保险费率、保险期限、免赔额等有关内容在专用合同条款中约定。</w:t>
      </w:r>
    </w:p>
    <w:p>
      <w:pPr>
        <w:pStyle w:val="6"/>
        <w:numPr>
          <w:ilvl w:val="1"/>
          <w:numId w:val="6"/>
        </w:numPr>
        <w:ind w:left="0" w:firstLine="422" w:firstLineChars="200"/>
        <w:rPr>
          <w:color w:val="auto"/>
          <w:highlight w:val="none"/>
        </w:rPr>
      </w:pPr>
      <w:r>
        <w:rPr>
          <w:rFonts w:hint="eastAsia"/>
          <w:color w:val="auto"/>
          <w:highlight w:val="none"/>
        </w:rPr>
        <w:t>人身伤亡及财产损失责任险</w:t>
      </w:r>
    </w:p>
    <w:p>
      <w:pPr>
        <w:pStyle w:val="7"/>
        <w:numPr>
          <w:ilvl w:val="2"/>
          <w:numId w:val="6"/>
        </w:numPr>
        <w:ind w:left="0" w:firstLine="420" w:firstLineChars="200"/>
        <w:rPr>
          <w:color w:val="auto"/>
          <w:highlight w:val="none"/>
        </w:rPr>
      </w:pPr>
      <w:r>
        <w:rPr>
          <w:rFonts w:hint="eastAsia"/>
          <w:color w:val="auto"/>
          <w:highlight w:val="none"/>
        </w:rPr>
        <w:t>承包人须对与本工程有关或本工程进行期间发生的或因本工程引致的人身伤亡、财产损失的费用、责任、损失、索偿或诉讼负责，并须保障发包人免负此类责任，除非有关伤亡是发包人或其应负责的人直接责任所引致的。若发包人因有关法律规定司法裁判、行政决定裁决或调解、和解协议或维稳需要先行承担责任或承担连带责任的，承包人应予赔偿。如果因此给发包人造成损失，承包人应当全额赔偿。</w:t>
      </w:r>
    </w:p>
    <w:p>
      <w:pPr>
        <w:pStyle w:val="6"/>
        <w:numPr>
          <w:ilvl w:val="1"/>
          <w:numId w:val="6"/>
        </w:numPr>
        <w:ind w:left="0" w:firstLine="422" w:firstLineChars="200"/>
        <w:rPr>
          <w:color w:val="auto"/>
          <w:highlight w:val="none"/>
        </w:rPr>
      </w:pPr>
      <w:r>
        <w:rPr>
          <w:rFonts w:hint="eastAsia"/>
          <w:color w:val="auto"/>
          <w:highlight w:val="none"/>
        </w:rPr>
        <w:t>雇员赔偿保险</w:t>
      </w:r>
    </w:p>
    <w:p>
      <w:pPr>
        <w:pStyle w:val="7"/>
        <w:numPr>
          <w:ilvl w:val="2"/>
          <w:numId w:val="6"/>
        </w:numPr>
        <w:ind w:left="0" w:firstLine="420" w:firstLineChars="200"/>
        <w:rPr>
          <w:color w:val="auto"/>
          <w:highlight w:val="none"/>
        </w:rPr>
      </w:pPr>
      <w:r>
        <w:rPr>
          <w:rFonts w:hint="eastAsia"/>
          <w:color w:val="auto"/>
          <w:highlight w:val="none"/>
        </w:rPr>
        <w:t>承包人须对其雇员、工作人员、代理人、劳务人员的意外或伤亡负全责。</w:t>
      </w:r>
    </w:p>
    <w:p>
      <w:pPr>
        <w:pStyle w:val="7"/>
        <w:numPr>
          <w:ilvl w:val="2"/>
          <w:numId w:val="6"/>
        </w:numPr>
        <w:ind w:left="0" w:firstLine="420" w:firstLineChars="200"/>
        <w:rPr>
          <w:color w:val="auto"/>
          <w:highlight w:val="none"/>
        </w:rPr>
      </w:pPr>
      <w:r>
        <w:rPr>
          <w:rFonts w:hint="eastAsia"/>
          <w:color w:val="auto"/>
          <w:highlight w:val="none"/>
        </w:rPr>
        <w:t>发包人对任何承包人的雇员、代理人、劳务人员或其他人的意外或伤亡，不论该人是受雇于承包人或其他分包单位，皆不负任何法律上的赔偿责任。承包人须保障发包人免负任何有关的索偿、要求、诉讼、成本、费用和支出。若发包人因有关法律规定或司法行政决定或和解协议需要先行承担责任或承担连带责任的，承包人应予赔偿。</w:t>
      </w:r>
    </w:p>
    <w:p>
      <w:pPr>
        <w:pStyle w:val="7"/>
        <w:numPr>
          <w:ilvl w:val="2"/>
          <w:numId w:val="6"/>
        </w:numPr>
        <w:ind w:left="0" w:firstLine="420" w:firstLineChars="200"/>
        <w:rPr>
          <w:color w:val="auto"/>
          <w:highlight w:val="none"/>
        </w:rPr>
      </w:pPr>
      <w:r>
        <w:rPr>
          <w:rFonts w:hint="eastAsia"/>
          <w:color w:val="auto"/>
          <w:highlight w:val="none"/>
        </w:rPr>
        <w:t>承包人须为自己和对受雇于工地上或在当地任何地方从事与本工程有关的工作的所有雇员、代理人、劳务人员或其他人的所有责任投有及维持所需的意外、工伤保险及社会保险等。</w:t>
      </w:r>
    </w:p>
    <w:p>
      <w:pPr>
        <w:pStyle w:val="7"/>
        <w:numPr>
          <w:ilvl w:val="2"/>
          <w:numId w:val="6"/>
        </w:numPr>
        <w:ind w:left="0" w:firstLine="420" w:firstLineChars="200"/>
        <w:rPr>
          <w:color w:val="auto"/>
          <w:highlight w:val="none"/>
        </w:rPr>
      </w:pPr>
      <w:r>
        <w:rPr>
          <w:rFonts w:hint="eastAsia"/>
          <w:color w:val="auto"/>
          <w:highlight w:val="none"/>
        </w:rPr>
        <w:t>假若有任何受雇于本工程或与本合同有关的雇员或其他人士，受到损伤，不论有无索偿，承包人须马上以书面形式将该损伤通知发包人。</w:t>
      </w:r>
    </w:p>
    <w:p>
      <w:pPr>
        <w:pStyle w:val="6"/>
        <w:numPr>
          <w:ilvl w:val="1"/>
          <w:numId w:val="6"/>
        </w:numPr>
        <w:ind w:left="0" w:firstLine="422" w:firstLineChars="200"/>
        <w:rPr>
          <w:color w:val="auto"/>
          <w:highlight w:val="none"/>
        </w:rPr>
      </w:pPr>
      <w:r>
        <w:rPr>
          <w:rFonts w:hint="eastAsia"/>
          <w:color w:val="auto"/>
          <w:highlight w:val="none"/>
        </w:rPr>
        <w:t>其他保险</w:t>
      </w:r>
    </w:p>
    <w:p>
      <w:pPr>
        <w:pStyle w:val="7"/>
        <w:numPr>
          <w:ilvl w:val="2"/>
          <w:numId w:val="6"/>
        </w:numPr>
        <w:ind w:left="0" w:firstLine="420" w:firstLineChars="200"/>
        <w:rPr>
          <w:color w:val="auto"/>
          <w:highlight w:val="none"/>
        </w:rPr>
      </w:pPr>
      <w:r>
        <w:rPr>
          <w:rFonts w:hint="eastAsia"/>
          <w:color w:val="auto"/>
          <w:highlight w:val="none"/>
        </w:rPr>
        <w:t>除专用条款另有约定外，承包人应为其施工设备、进场的材料和工程设备等办理保险。</w:t>
      </w:r>
    </w:p>
    <w:p>
      <w:pPr>
        <w:pStyle w:val="6"/>
        <w:numPr>
          <w:ilvl w:val="1"/>
          <w:numId w:val="6"/>
        </w:numPr>
        <w:ind w:left="0" w:firstLine="422" w:firstLineChars="200"/>
        <w:rPr>
          <w:color w:val="auto"/>
          <w:highlight w:val="none"/>
        </w:rPr>
      </w:pPr>
      <w:r>
        <w:rPr>
          <w:rFonts w:hint="eastAsia"/>
          <w:color w:val="auto"/>
          <w:highlight w:val="none"/>
        </w:rPr>
        <w:t>对各项保险的一般要求</w:t>
      </w:r>
    </w:p>
    <w:p>
      <w:pPr>
        <w:pStyle w:val="7"/>
        <w:numPr>
          <w:ilvl w:val="2"/>
          <w:numId w:val="6"/>
        </w:numPr>
        <w:ind w:left="0" w:firstLine="420" w:firstLineChars="200"/>
        <w:rPr>
          <w:color w:val="auto"/>
          <w:highlight w:val="none"/>
        </w:rPr>
      </w:pPr>
      <w:r>
        <w:rPr>
          <w:rFonts w:hint="eastAsia"/>
          <w:color w:val="auto"/>
          <w:highlight w:val="none"/>
        </w:rPr>
        <w:t>承包人应向发包人提交各项保险生效的证据和保险单副本，保险单必须与专用条款约定的条件保持一致。</w:t>
      </w:r>
    </w:p>
    <w:p>
      <w:pPr>
        <w:pStyle w:val="7"/>
        <w:numPr>
          <w:ilvl w:val="2"/>
          <w:numId w:val="6"/>
        </w:numPr>
        <w:ind w:left="0" w:firstLine="420" w:firstLineChars="200"/>
        <w:rPr>
          <w:color w:val="auto"/>
          <w:highlight w:val="none"/>
        </w:rPr>
      </w:pPr>
      <w:r>
        <w:rPr>
          <w:rFonts w:hint="eastAsia"/>
          <w:color w:val="auto"/>
          <w:highlight w:val="none"/>
        </w:rPr>
        <w:t>承包人将被视为对保险单内一切条款清楚明确，并积极地遵循保险条款和承保人关于解决索偿、追讨损失和防止意外的一切合理要求，并自费负责因未能遵循的后果。承包人应尊重保险索偿的结果并放弃对发包人因处理保险事宜引起的一切赔偿及责任追讨。承包人须自行承担保险单内规定的保险除外责任、免赔额、不负责项目或限制的费用，除非合同明确规定它们是属于发包人在本合同内应承担的风险或责任。</w:t>
      </w:r>
    </w:p>
    <w:p>
      <w:pPr>
        <w:pStyle w:val="7"/>
        <w:numPr>
          <w:ilvl w:val="2"/>
          <w:numId w:val="6"/>
        </w:numPr>
        <w:ind w:left="0" w:firstLine="420" w:firstLineChars="200"/>
        <w:rPr>
          <w:color w:val="auto"/>
          <w:highlight w:val="none"/>
        </w:rPr>
      </w:pPr>
      <w:r>
        <w:rPr>
          <w:rFonts w:hint="eastAsia"/>
          <w:color w:val="auto"/>
          <w:highlight w:val="none"/>
        </w:rPr>
        <w:t>承包人需要变动保险合同条款时，应事先征得发包人同意，并通知监理人。保险人作出变动的，承包人应提异议的应及时提出异议、与其磋商，并在收到保险人通知后立即通知发包人和监理人。</w:t>
      </w:r>
    </w:p>
    <w:p>
      <w:pPr>
        <w:pStyle w:val="7"/>
        <w:numPr>
          <w:ilvl w:val="2"/>
          <w:numId w:val="6"/>
        </w:numPr>
        <w:ind w:left="0" w:firstLine="420" w:firstLineChars="200"/>
        <w:rPr>
          <w:color w:val="auto"/>
          <w:highlight w:val="none"/>
        </w:rPr>
      </w:pPr>
      <w:r>
        <w:rPr>
          <w:rFonts w:hint="eastAsia"/>
          <w:color w:val="auto"/>
          <w:highlight w:val="none"/>
        </w:rPr>
        <w:t>承包人应与保险人保持联系，使保险人能够随时了解工程实施中的变动，并确保按保险合同条款要求持续保险。</w:t>
      </w:r>
    </w:p>
    <w:p>
      <w:pPr>
        <w:pStyle w:val="7"/>
        <w:numPr>
          <w:ilvl w:val="2"/>
          <w:numId w:val="6"/>
        </w:numPr>
        <w:ind w:left="0" w:firstLine="420" w:firstLineChars="200"/>
        <w:rPr>
          <w:color w:val="auto"/>
          <w:highlight w:val="none"/>
        </w:rPr>
      </w:pPr>
      <w:r>
        <w:rPr>
          <w:rFonts w:hint="eastAsia"/>
          <w:color w:val="auto"/>
          <w:highlight w:val="none"/>
        </w:rPr>
        <w:t>当保险事故发生时，投保人应按照保险单规定的条件和期限及时向保险人报告。</w:t>
      </w:r>
    </w:p>
    <w:p>
      <w:pPr>
        <w:pStyle w:val="7"/>
        <w:numPr>
          <w:ilvl w:val="2"/>
          <w:numId w:val="6"/>
        </w:numPr>
        <w:ind w:left="0" w:firstLine="420" w:firstLineChars="200"/>
        <w:rPr>
          <w:color w:val="auto"/>
          <w:highlight w:val="none"/>
        </w:rPr>
      </w:pPr>
      <w:r>
        <w:rPr>
          <w:rFonts w:hint="eastAsia"/>
          <w:color w:val="auto"/>
          <w:highlight w:val="none"/>
        </w:rPr>
        <w:t>保险期若因承包人的过失而需延长，因此而增加的保险费由承包人负担。</w:t>
      </w:r>
    </w:p>
    <w:p>
      <w:pPr>
        <w:pStyle w:val="5"/>
        <w:numPr>
          <w:ilvl w:val="0"/>
          <w:numId w:val="6"/>
        </w:numPr>
        <w:ind w:left="0" w:firstLine="562" w:firstLineChars="200"/>
        <w:rPr>
          <w:color w:val="auto"/>
          <w:highlight w:val="none"/>
        </w:rPr>
      </w:pPr>
      <w:bookmarkStart w:id="193" w:name="_Toc464649554"/>
      <w:bookmarkStart w:id="194" w:name="_Toc33445964"/>
      <w:bookmarkStart w:id="195" w:name="_Toc33445889"/>
      <w:bookmarkStart w:id="196" w:name="_Toc33446067"/>
      <w:bookmarkStart w:id="197" w:name="_Toc33092177"/>
      <w:bookmarkStart w:id="198" w:name="_Toc27361"/>
      <w:bookmarkStart w:id="199" w:name="_Toc33448465"/>
      <w:bookmarkStart w:id="200" w:name="_Toc33448394"/>
      <w:bookmarkStart w:id="201" w:name="_Toc133502189"/>
      <w:r>
        <w:rPr>
          <w:rFonts w:hint="eastAsia"/>
          <w:color w:val="auto"/>
          <w:highlight w:val="none"/>
        </w:rPr>
        <w:t>不可抗力</w:t>
      </w:r>
      <w:bookmarkEnd w:id="193"/>
      <w:bookmarkEnd w:id="194"/>
      <w:bookmarkEnd w:id="195"/>
      <w:bookmarkEnd w:id="196"/>
      <w:bookmarkEnd w:id="197"/>
      <w:bookmarkEnd w:id="198"/>
      <w:bookmarkEnd w:id="199"/>
      <w:bookmarkEnd w:id="200"/>
      <w:bookmarkEnd w:id="201"/>
    </w:p>
    <w:p>
      <w:pPr>
        <w:pStyle w:val="6"/>
        <w:numPr>
          <w:ilvl w:val="1"/>
          <w:numId w:val="6"/>
        </w:numPr>
        <w:ind w:left="0" w:firstLine="422" w:firstLineChars="200"/>
        <w:rPr>
          <w:color w:val="auto"/>
          <w:highlight w:val="none"/>
        </w:rPr>
      </w:pPr>
      <w:r>
        <w:rPr>
          <w:rFonts w:hint="eastAsia"/>
          <w:color w:val="auto"/>
          <w:highlight w:val="none"/>
        </w:rPr>
        <w:t>不可抗力的确认</w:t>
      </w:r>
    </w:p>
    <w:p>
      <w:pPr>
        <w:pStyle w:val="7"/>
        <w:numPr>
          <w:ilvl w:val="2"/>
          <w:numId w:val="6"/>
        </w:numPr>
        <w:ind w:left="0" w:firstLine="420" w:firstLineChars="200"/>
        <w:rPr>
          <w:color w:val="auto"/>
          <w:highlight w:val="none"/>
        </w:rPr>
      </w:pPr>
      <w:r>
        <w:rPr>
          <w:rFonts w:hint="eastAsia"/>
          <w:color w:val="auto"/>
          <w:highlight w:val="none"/>
        </w:rPr>
        <w:t>不可抗力是指承包人和发包人在订立合同时不可预见，在工程施工过程中不可避免发生并不能克服的自然灾害和社会性突发事件，如地震、海啸、瘟疫、水灾、骚乱、暴动、战争等。</w:t>
      </w:r>
    </w:p>
    <w:p>
      <w:pPr>
        <w:pStyle w:val="7"/>
        <w:numPr>
          <w:ilvl w:val="2"/>
          <w:numId w:val="6"/>
        </w:numPr>
        <w:ind w:left="0" w:firstLine="420" w:firstLineChars="200"/>
        <w:rPr>
          <w:color w:val="auto"/>
          <w:highlight w:val="none"/>
        </w:rPr>
      </w:pPr>
      <w:r>
        <w:rPr>
          <w:rFonts w:hint="eastAsia"/>
          <w:color w:val="auto"/>
          <w:highlight w:val="none"/>
        </w:rPr>
        <w:t>不可抗力发生后，发包人和承包人应及时认真统计所造成的损失，收集不可抗力造成损失的证据。合同当事人双方对是否属于不可抗力或其损失的意见不一致的，由双方商定或确定。发生争议时，按第23条的约定办理。</w:t>
      </w:r>
    </w:p>
    <w:p>
      <w:pPr>
        <w:pStyle w:val="6"/>
        <w:numPr>
          <w:ilvl w:val="1"/>
          <w:numId w:val="6"/>
        </w:numPr>
        <w:ind w:left="0" w:firstLine="422" w:firstLineChars="200"/>
        <w:rPr>
          <w:color w:val="auto"/>
          <w:highlight w:val="none"/>
        </w:rPr>
      </w:pPr>
      <w:r>
        <w:rPr>
          <w:rFonts w:hint="eastAsia"/>
          <w:color w:val="auto"/>
          <w:highlight w:val="none"/>
        </w:rPr>
        <w:t>不可抗力的通知</w:t>
      </w:r>
    </w:p>
    <w:p>
      <w:pPr>
        <w:pStyle w:val="7"/>
        <w:numPr>
          <w:ilvl w:val="2"/>
          <w:numId w:val="6"/>
        </w:numPr>
        <w:ind w:left="0" w:firstLine="420" w:firstLineChars="200"/>
        <w:rPr>
          <w:color w:val="auto"/>
          <w:highlight w:val="none"/>
        </w:rPr>
      </w:pPr>
      <w:r>
        <w:rPr>
          <w:rFonts w:hint="eastAsia"/>
          <w:color w:val="auto"/>
          <w:highlight w:val="none"/>
        </w:rPr>
        <w:t>合同一方当事人遇到不可抗力事件，使其履行合同义务受到阻碍时，应立即通知合同另一方当事人和监理人，书面说明不可抗力和受阻碍的详细情况，并提供必要的证明。</w:t>
      </w:r>
    </w:p>
    <w:p>
      <w:pPr>
        <w:pStyle w:val="7"/>
        <w:numPr>
          <w:ilvl w:val="2"/>
          <w:numId w:val="6"/>
        </w:numPr>
        <w:ind w:left="0" w:firstLine="420" w:firstLineChars="200"/>
        <w:rPr>
          <w:color w:val="auto"/>
          <w:highlight w:val="none"/>
        </w:rPr>
      </w:pPr>
      <w:r>
        <w:rPr>
          <w:rFonts w:hint="eastAsia"/>
          <w:color w:val="auto"/>
          <w:highlight w:val="none"/>
        </w:rPr>
        <w:t>如不可抗力持续发生，合同一方当事人应及时向合同另一方当事人和监理人提交中间报告，说明不可抗力和履行合同受阻的情况，并于不可抗力事件结束后28天内提交最终报告及有关资料。</w:t>
      </w:r>
    </w:p>
    <w:p>
      <w:pPr>
        <w:pStyle w:val="6"/>
        <w:numPr>
          <w:ilvl w:val="1"/>
          <w:numId w:val="6"/>
        </w:numPr>
        <w:ind w:left="0" w:firstLine="422" w:firstLineChars="200"/>
        <w:rPr>
          <w:color w:val="auto"/>
          <w:highlight w:val="none"/>
        </w:rPr>
      </w:pPr>
      <w:r>
        <w:rPr>
          <w:rFonts w:hint="eastAsia"/>
          <w:color w:val="auto"/>
          <w:highlight w:val="none"/>
        </w:rPr>
        <w:t>不可抗力后果及其处理</w:t>
      </w:r>
    </w:p>
    <w:p>
      <w:pPr>
        <w:pStyle w:val="7"/>
        <w:numPr>
          <w:ilvl w:val="2"/>
          <w:numId w:val="6"/>
        </w:numPr>
        <w:ind w:left="0" w:firstLine="420" w:firstLineChars="200"/>
        <w:rPr>
          <w:color w:val="auto"/>
          <w:highlight w:val="none"/>
        </w:rPr>
      </w:pPr>
      <w:r>
        <w:rPr>
          <w:rFonts w:hint="eastAsia"/>
          <w:color w:val="auto"/>
          <w:highlight w:val="none"/>
        </w:rPr>
        <w:t>不可抗力发生后，发包人和承包人均应采取措施尽量避免和减少损失的扩大，任何一方没有采取有效措施导致损失扩大的，应对扩大的损失承担责任。</w:t>
      </w:r>
    </w:p>
    <w:p>
      <w:pPr>
        <w:pStyle w:val="7"/>
        <w:numPr>
          <w:ilvl w:val="2"/>
          <w:numId w:val="6"/>
        </w:numPr>
        <w:ind w:left="0" w:firstLine="420" w:firstLineChars="200"/>
        <w:rPr>
          <w:color w:val="auto"/>
          <w:highlight w:val="none"/>
        </w:rPr>
      </w:pPr>
      <w:r>
        <w:rPr>
          <w:rFonts w:hint="eastAsia"/>
          <w:color w:val="auto"/>
          <w:highlight w:val="none"/>
        </w:rPr>
        <w:t>除专用条款另有约定外，不可抗力导致的人员伤亡、财产损失、费用增加和（或）工期延误等后果，由合同当事人双方按以下原则承担：</w:t>
      </w:r>
    </w:p>
    <w:p>
      <w:pPr>
        <w:pStyle w:val="8"/>
        <w:numPr>
          <w:ilvl w:val="0"/>
          <w:numId w:val="38"/>
        </w:numPr>
        <w:ind w:left="0" w:firstLine="420" w:firstLineChars="200"/>
        <w:rPr>
          <w:color w:val="auto"/>
          <w:highlight w:val="none"/>
        </w:rPr>
      </w:pPr>
      <w:r>
        <w:rPr>
          <w:rFonts w:hint="eastAsia"/>
          <w:color w:val="auto"/>
          <w:highlight w:val="none"/>
        </w:rPr>
        <w:t>永久工程，包括已运至施工场地的材料和工程设备的损害，以及因工程损害造成的第三者人员伤亡和财产损失由发包人承担；</w:t>
      </w:r>
    </w:p>
    <w:p>
      <w:pPr>
        <w:pStyle w:val="8"/>
        <w:numPr>
          <w:ilvl w:val="0"/>
          <w:numId w:val="38"/>
        </w:numPr>
        <w:ind w:left="0" w:firstLine="420" w:firstLineChars="200"/>
        <w:rPr>
          <w:color w:val="auto"/>
          <w:highlight w:val="none"/>
        </w:rPr>
      </w:pPr>
      <w:r>
        <w:rPr>
          <w:rFonts w:hint="eastAsia"/>
          <w:color w:val="auto"/>
          <w:highlight w:val="none"/>
        </w:rPr>
        <w:t>承包人设备的损坏由承包人承担；</w:t>
      </w:r>
    </w:p>
    <w:p>
      <w:pPr>
        <w:pStyle w:val="8"/>
        <w:numPr>
          <w:ilvl w:val="0"/>
          <w:numId w:val="38"/>
        </w:numPr>
        <w:ind w:left="0" w:firstLine="420" w:firstLineChars="200"/>
        <w:rPr>
          <w:color w:val="auto"/>
          <w:highlight w:val="none"/>
        </w:rPr>
      </w:pPr>
      <w:r>
        <w:rPr>
          <w:rFonts w:hint="eastAsia"/>
          <w:color w:val="auto"/>
          <w:highlight w:val="none"/>
        </w:rPr>
        <w:t>发包人和承包人各自承担其人员伤亡和其他财产损失及其相关费用；</w:t>
      </w:r>
    </w:p>
    <w:p>
      <w:pPr>
        <w:pStyle w:val="8"/>
        <w:numPr>
          <w:ilvl w:val="0"/>
          <w:numId w:val="38"/>
        </w:numPr>
        <w:ind w:left="0" w:firstLine="420" w:firstLineChars="200"/>
        <w:rPr>
          <w:color w:val="auto"/>
          <w:highlight w:val="none"/>
        </w:rPr>
      </w:pPr>
      <w:r>
        <w:rPr>
          <w:rFonts w:hint="eastAsia"/>
          <w:color w:val="auto"/>
          <w:highlight w:val="none"/>
        </w:rPr>
        <w:t>承包人的停工损失由承包人承担，但停工期间应监理人要求照管工程和清理、修复工程的金额由发包人承担；</w:t>
      </w:r>
    </w:p>
    <w:p>
      <w:pPr>
        <w:pStyle w:val="8"/>
        <w:numPr>
          <w:ilvl w:val="0"/>
          <w:numId w:val="38"/>
        </w:numPr>
        <w:ind w:left="0" w:firstLine="420" w:firstLineChars="200"/>
        <w:rPr>
          <w:color w:val="auto"/>
          <w:highlight w:val="none"/>
        </w:rPr>
      </w:pPr>
      <w:r>
        <w:rPr>
          <w:rFonts w:hint="eastAsia"/>
          <w:color w:val="auto"/>
          <w:highlight w:val="none"/>
        </w:rPr>
        <w:t>不能按期竣工的，应合理延长工期，承包人不需支付逾期竣工违约金。发包人要求赶工的，承包人应采取赶工措施，赶工费用由发包人承担。</w:t>
      </w:r>
    </w:p>
    <w:p>
      <w:pPr>
        <w:pStyle w:val="5"/>
        <w:numPr>
          <w:ilvl w:val="0"/>
          <w:numId w:val="6"/>
        </w:numPr>
        <w:ind w:left="0" w:firstLine="562" w:firstLineChars="200"/>
        <w:rPr>
          <w:color w:val="auto"/>
          <w:highlight w:val="none"/>
        </w:rPr>
      </w:pPr>
      <w:bookmarkStart w:id="202" w:name="_Toc33448466"/>
      <w:bookmarkStart w:id="203" w:name="_Toc33448395"/>
      <w:bookmarkStart w:id="204" w:name="_Toc133502190"/>
      <w:bookmarkStart w:id="205" w:name="_Toc33092178"/>
      <w:bookmarkStart w:id="206" w:name="_Toc33445965"/>
      <w:bookmarkStart w:id="207" w:name="_Toc25587"/>
      <w:bookmarkStart w:id="208" w:name="_Toc464649555"/>
      <w:bookmarkStart w:id="209" w:name="_Toc33446068"/>
      <w:bookmarkStart w:id="210" w:name="_Toc33445890"/>
      <w:r>
        <w:rPr>
          <w:rFonts w:hint="eastAsia"/>
          <w:color w:val="auto"/>
          <w:highlight w:val="none"/>
        </w:rPr>
        <w:t>违约</w:t>
      </w:r>
      <w:bookmarkEnd w:id="202"/>
      <w:bookmarkEnd w:id="203"/>
      <w:bookmarkEnd w:id="204"/>
      <w:bookmarkEnd w:id="205"/>
      <w:bookmarkEnd w:id="206"/>
      <w:bookmarkEnd w:id="207"/>
      <w:bookmarkEnd w:id="208"/>
      <w:bookmarkEnd w:id="209"/>
      <w:bookmarkEnd w:id="210"/>
    </w:p>
    <w:p>
      <w:pPr>
        <w:pStyle w:val="6"/>
        <w:numPr>
          <w:ilvl w:val="1"/>
          <w:numId w:val="6"/>
        </w:numPr>
        <w:ind w:left="0" w:firstLine="422" w:firstLineChars="200"/>
        <w:rPr>
          <w:color w:val="auto"/>
          <w:highlight w:val="none"/>
        </w:rPr>
      </w:pPr>
      <w:r>
        <w:rPr>
          <w:rFonts w:hint="eastAsia"/>
          <w:color w:val="auto"/>
          <w:highlight w:val="none"/>
        </w:rPr>
        <w:t>承包人违约</w:t>
      </w:r>
    </w:p>
    <w:p>
      <w:pPr>
        <w:pStyle w:val="7"/>
        <w:numPr>
          <w:ilvl w:val="2"/>
          <w:numId w:val="6"/>
        </w:numPr>
        <w:ind w:left="0" w:firstLine="420" w:firstLineChars="200"/>
        <w:rPr>
          <w:color w:val="auto"/>
          <w:highlight w:val="none"/>
        </w:rPr>
      </w:pPr>
      <w:r>
        <w:rPr>
          <w:rFonts w:hint="eastAsia"/>
          <w:color w:val="auto"/>
          <w:highlight w:val="none"/>
        </w:rPr>
        <w:t>在履行合同过程中发生的下列情况属承包人违约：</w:t>
      </w:r>
    </w:p>
    <w:p>
      <w:pPr>
        <w:pStyle w:val="7"/>
        <w:numPr>
          <w:ilvl w:val="2"/>
          <w:numId w:val="6"/>
        </w:numPr>
        <w:ind w:left="0" w:firstLine="420" w:firstLineChars="200"/>
        <w:rPr>
          <w:color w:val="auto"/>
          <w:highlight w:val="none"/>
        </w:rPr>
      </w:pPr>
      <w:r>
        <w:rPr>
          <w:rFonts w:hint="eastAsia"/>
          <w:color w:val="auto"/>
          <w:highlight w:val="none"/>
        </w:rPr>
        <w:t>承包人有任何违反本合同义务的行为都构成违约，均须按法律和合同约定承担违约责任。</w:t>
      </w:r>
    </w:p>
    <w:p>
      <w:pPr>
        <w:pStyle w:val="7"/>
        <w:numPr>
          <w:ilvl w:val="2"/>
          <w:numId w:val="6"/>
        </w:numPr>
        <w:ind w:left="0" w:firstLine="420" w:firstLineChars="200"/>
        <w:rPr>
          <w:color w:val="auto"/>
          <w:highlight w:val="none"/>
        </w:rPr>
      </w:pPr>
      <w:r>
        <w:rPr>
          <w:rFonts w:hint="eastAsia"/>
          <w:color w:val="auto"/>
          <w:highlight w:val="none"/>
        </w:rPr>
        <w:t xml:space="preserve">对于承包人的违约行为，承包人承担违约责任的形式包括但不限于： </w:t>
      </w:r>
    </w:p>
    <w:p>
      <w:pPr>
        <w:spacing w:line="360" w:lineRule="auto"/>
        <w:ind w:firstLine="420" w:firstLineChars="200"/>
        <w:rPr>
          <w:color w:val="auto"/>
          <w:highlight w:val="none"/>
        </w:rPr>
      </w:pPr>
      <w:r>
        <w:rPr>
          <w:rFonts w:hint="eastAsia"/>
          <w:color w:val="auto"/>
          <w:highlight w:val="none"/>
        </w:rPr>
        <w:t>1）严重违约责任：承包人违反合同义务符合承担严重违约责任的情形时，除按法律及合同约定承担其他违约责任外，每次还应当按专用合同条款的约定承担严重违约责任；</w:t>
      </w:r>
    </w:p>
    <w:p>
      <w:pPr>
        <w:spacing w:line="360" w:lineRule="auto"/>
        <w:ind w:firstLine="420" w:firstLineChars="200"/>
        <w:rPr>
          <w:color w:val="auto"/>
          <w:highlight w:val="none"/>
        </w:rPr>
      </w:pPr>
      <w:r>
        <w:rPr>
          <w:rFonts w:hint="eastAsia"/>
          <w:color w:val="auto"/>
          <w:highlight w:val="none"/>
        </w:rPr>
        <w:t>2）重大违约责任：承包人违反合同义务符合承担重大违约责任的情形时，除按法律及合同约定承担其他违约责任外，每次还应当按专用合同条款的约定承担重大违约责任；</w:t>
      </w:r>
    </w:p>
    <w:p>
      <w:pPr>
        <w:spacing w:line="360" w:lineRule="auto"/>
        <w:ind w:firstLine="420" w:firstLineChars="200"/>
        <w:rPr>
          <w:color w:val="auto"/>
          <w:highlight w:val="none"/>
        </w:rPr>
      </w:pPr>
      <w:r>
        <w:rPr>
          <w:rFonts w:hint="eastAsia"/>
          <w:color w:val="auto"/>
          <w:highlight w:val="none"/>
        </w:rPr>
        <w:t>3）一般违约责任：承包人违反合同义务符合承担一般违约责任的情形时，除按法律及合同约定承担其他违约责任外，每次还应当按专用合同条款的约定承担一般违约责任；</w:t>
      </w:r>
    </w:p>
    <w:p>
      <w:pPr>
        <w:spacing w:line="360" w:lineRule="auto"/>
        <w:ind w:firstLine="420" w:firstLineChars="200"/>
        <w:rPr>
          <w:color w:val="auto"/>
          <w:highlight w:val="none"/>
        </w:rPr>
      </w:pPr>
      <w:r>
        <w:rPr>
          <w:rFonts w:hint="eastAsia"/>
          <w:color w:val="auto"/>
          <w:highlight w:val="none"/>
        </w:rPr>
        <w:t>4）因承包人违约造成发包人解除合同：承包人违反合同义务符合发包人可解除合同的情形时，发包人有权向承包人发出书面解除合同的通知，合同自该通知在送达承包人时即解除，承包人除按法律及合同约定承担其他违约责任外，还应当向发包人按专用条款约定承担违约责任。承包人向发包人承担违约责任并不免除承包人依法应承担的所有责任。</w:t>
      </w:r>
    </w:p>
    <w:p>
      <w:pPr>
        <w:spacing w:line="360" w:lineRule="auto"/>
        <w:ind w:firstLine="420" w:firstLineChars="200"/>
        <w:rPr>
          <w:color w:val="auto"/>
          <w:highlight w:val="none"/>
        </w:rPr>
      </w:pPr>
      <w:r>
        <w:rPr>
          <w:rFonts w:hint="eastAsia"/>
          <w:color w:val="auto"/>
          <w:highlight w:val="none"/>
        </w:rPr>
        <w:t>5）承包人其他责任以合同约定为准。</w:t>
      </w:r>
    </w:p>
    <w:p>
      <w:pPr>
        <w:pStyle w:val="7"/>
        <w:numPr>
          <w:ilvl w:val="2"/>
          <w:numId w:val="6"/>
        </w:numPr>
        <w:ind w:left="0" w:firstLine="420" w:firstLineChars="200"/>
        <w:rPr>
          <w:color w:val="auto"/>
          <w:highlight w:val="none"/>
        </w:rPr>
      </w:pPr>
      <w:r>
        <w:rPr>
          <w:rFonts w:hint="eastAsia"/>
          <w:color w:val="auto"/>
          <w:highlight w:val="none"/>
        </w:rPr>
        <w:t>承包人支付违约金和承担其他违约责任的方法包括但不限于：</w:t>
      </w:r>
    </w:p>
    <w:p>
      <w:pPr>
        <w:spacing w:line="360" w:lineRule="auto"/>
        <w:ind w:firstLine="420" w:firstLineChars="200"/>
        <w:rPr>
          <w:color w:val="auto"/>
          <w:highlight w:val="none"/>
        </w:rPr>
      </w:pPr>
      <w:r>
        <w:rPr>
          <w:rFonts w:hint="eastAsia"/>
          <w:color w:val="auto"/>
          <w:highlight w:val="none"/>
        </w:rPr>
        <w:t>发包人有权从应支付给承包人的工程款中直接扣除。</w:t>
      </w:r>
    </w:p>
    <w:p>
      <w:pPr>
        <w:spacing w:line="360" w:lineRule="auto"/>
        <w:ind w:firstLine="420" w:firstLineChars="200"/>
        <w:rPr>
          <w:color w:val="auto"/>
          <w:highlight w:val="none"/>
        </w:rPr>
      </w:pPr>
      <w:r>
        <w:rPr>
          <w:rFonts w:hint="eastAsia"/>
          <w:color w:val="auto"/>
          <w:highlight w:val="none"/>
        </w:rPr>
        <w:t>发包人有权向承包人所提供履约保函的银行提出扣除相应的履约保证金额或直接从质量保证金中扣除。</w:t>
      </w:r>
    </w:p>
    <w:p>
      <w:pPr>
        <w:spacing w:line="360" w:lineRule="auto"/>
        <w:ind w:firstLine="420" w:firstLineChars="200"/>
        <w:rPr>
          <w:color w:val="auto"/>
          <w:highlight w:val="none"/>
        </w:rPr>
      </w:pPr>
      <w:r>
        <w:rPr>
          <w:rFonts w:hint="eastAsia"/>
          <w:color w:val="auto"/>
          <w:highlight w:val="none"/>
        </w:rPr>
        <w:t>发包人通知承包人支付或向承包人追偿，承包人应直接支付。</w:t>
      </w:r>
    </w:p>
    <w:p>
      <w:pPr>
        <w:spacing w:line="360" w:lineRule="auto"/>
        <w:ind w:firstLine="420" w:firstLineChars="200"/>
        <w:rPr>
          <w:color w:val="auto"/>
          <w:highlight w:val="none"/>
        </w:rPr>
      </w:pPr>
      <w:r>
        <w:rPr>
          <w:rFonts w:hint="eastAsia"/>
          <w:color w:val="auto"/>
          <w:highlight w:val="none"/>
        </w:rPr>
        <w:t>承包人所支付的违约金不足弥补发包人损失的，承包人需赔偿发包人的全部损失。</w:t>
      </w:r>
    </w:p>
    <w:p>
      <w:pPr>
        <w:pStyle w:val="7"/>
        <w:numPr>
          <w:ilvl w:val="2"/>
          <w:numId w:val="6"/>
        </w:numPr>
        <w:ind w:left="0" w:firstLine="420" w:firstLineChars="200"/>
        <w:rPr>
          <w:rFonts w:hAnsi="宋体"/>
          <w:color w:val="auto"/>
          <w:highlight w:val="none"/>
        </w:rPr>
      </w:pPr>
      <w:r>
        <w:rPr>
          <w:rFonts w:hint="eastAsia" w:hAnsi="宋体"/>
          <w:color w:val="auto"/>
          <w:highlight w:val="none"/>
        </w:rPr>
        <w:t>除本</w:t>
      </w:r>
      <w:r>
        <w:rPr>
          <w:rFonts w:hint="eastAsia"/>
          <w:color w:val="auto"/>
          <w:highlight w:val="none"/>
        </w:rPr>
        <w:t>合同</w:t>
      </w:r>
      <w:r>
        <w:rPr>
          <w:rFonts w:hint="eastAsia" w:hAnsi="宋体"/>
          <w:color w:val="auto"/>
          <w:highlight w:val="none"/>
        </w:rPr>
        <w:t>另有约定外，承包人承担违约赔偿责任的范围包括但不限于发包人的直接经济损失、向第三方承担的违约责任以及发生的诉讼费、仲裁费、律师费等费用支出。</w:t>
      </w:r>
    </w:p>
    <w:p>
      <w:pPr>
        <w:pStyle w:val="7"/>
        <w:numPr>
          <w:ilvl w:val="2"/>
          <w:numId w:val="6"/>
        </w:numPr>
        <w:ind w:left="0" w:firstLine="420" w:firstLineChars="200"/>
        <w:rPr>
          <w:color w:val="auto"/>
          <w:highlight w:val="none"/>
        </w:rPr>
      </w:pPr>
      <w:r>
        <w:rPr>
          <w:rFonts w:hint="eastAsia"/>
          <w:color w:val="auto"/>
          <w:highlight w:val="none"/>
        </w:rPr>
        <w:t>对承包人违约的整改通知</w:t>
      </w:r>
    </w:p>
    <w:p>
      <w:pPr>
        <w:pStyle w:val="8"/>
        <w:numPr>
          <w:ilvl w:val="0"/>
          <w:numId w:val="39"/>
        </w:numPr>
        <w:ind w:left="0" w:firstLine="420" w:firstLineChars="200"/>
        <w:rPr>
          <w:color w:val="auto"/>
          <w:highlight w:val="none"/>
        </w:rPr>
      </w:pPr>
      <w:r>
        <w:rPr>
          <w:rFonts w:hint="eastAsia"/>
          <w:color w:val="auto"/>
          <w:highlight w:val="none"/>
        </w:rPr>
        <w:t>承包人发生违约，但未达到发包人可解除合同的情况时，除应承担合同约定的违约责任外，监理人还可向承包人发出整改通知，要求其在指定的期限内改正。承包人应承担其违约所引起的费用增加和（或）工期延误。</w:t>
      </w:r>
    </w:p>
    <w:p>
      <w:pPr>
        <w:pStyle w:val="8"/>
        <w:numPr>
          <w:ilvl w:val="0"/>
          <w:numId w:val="39"/>
        </w:numPr>
        <w:ind w:left="0" w:firstLine="420" w:firstLineChars="200"/>
        <w:rPr>
          <w:color w:val="auto"/>
          <w:highlight w:val="none"/>
        </w:rPr>
      </w:pPr>
      <w:r>
        <w:rPr>
          <w:rFonts w:hint="eastAsia"/>
          <w:color w:val="auto"/>
          <w:highlight w:val="none"/>
        </w:rPr>
        <w:t>监理人要求承包人停工整改的，经检查证明承包人已采取了有效措施纠正违约行为，具备复工条件的，可由监理人在取得发包人同意的情况下签发复工通知复工。</w:t>
      </w:r>
    </w:p>
    <w:p>
      <w:pPr>
        <w:pStyle w:val="8"/>
        <w:numPr>
          <w:ilvl w:val="0"/>
          <w:numId w:val="39"/>
        </w:numPr>
        <w:ind w:left="0" w:firstLine="420" w:firstLineChars="200"/>
        <w:rPr>
          <w:color w:val="auto"/>
          <w:highlight w:val="none"/>
        </w:rPr>
      </w:pPr>
      <w:r>
        <w:rPr>
          <w:rFonts w:hint="eastAsia"/>
          <w:color w:val="auto"/>
          <w:highlight w:val="none"/>
        </w:rPr>
        <w:t>监理人发出整改通知28天后，承包人仍不纠正违约行为的，发包人有权向承包人发出解除合同通知。</w:t>
      </w:r>
    </w:p>
    <w:p>
      <w:pPr>
        <w:pStyle w:val="7"/>
        <w:numPr>
          <w:ilvl w:val="2"/>
          <w:numId w:val="6"/>
        </w:numPr>
        <w:ind w:left="0" w:firstLine="420" w:firstLineChars="200"/>
        <w:rPr>
          <w:color w:val="auto"/>
          <w:highlight w:val="none"/>
        </w:rPr>
      </w:pPr>
      <w:r>
        <w:rPr>
          <w:rFonts w:hint="eastAsia"/>
          <w:color w:val="auto"/>
          <w:highlight w:val="none"/>
        </w:rPr>
        <w:t>承包人违约解除合同</w:t>
      </w:r>
    </w:p>
    <w:p>
      <w:pPr>
        <w:spacing w:line="360" w:lineRule="auto"/>
        <w:ind w:firstLine="420" w:firstLineChars="200"/>
        <w:rPr>
          <w:color w:val="auto"/>
          <w:highlight w:val="none"/>
        </w:rPr>
      </w:pPr>
      <w:r>
        <w:rPr>
          <w:rFonts w:hint="eastAsia"/>
          <w:color w:val="auto"/>
          <w:highlight w:val="none"/>
        </w:rPr>
        <w:t>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auto"/>
        <w:ind w:firstLine="420" w:firstLineChars="200"/>
        <w:rPr>
          <w:color w:val="auto"/>
          <w:highlight w:val="none"/>
        </w:rPr>
      </w:pPr>
      <w:r>
        <w:rPr>
          <w:rFonts w:hint="eastAsia"/>
          <w:color w:val="auto"/>
          <w:highlight w:val="none"/>
        </w:rPr>
        <w:t>因承包人违约导致合同解除后的估价、付款和结清</w:t>
      </w:r>
    </w:p>
    <w:p>
      <w:pPr>
        <w:spacing w:line="360" w:lineRule="auto"/>
        <w:ind w:firstLine="420" w:firstLineChars="200"/>
        <w:rPr>
          <w:color w:val="auto"/>
          <w:highlight w:val="none"/>
        </w:rPr>
      </w:pPr>
      <w:r>
        <w:rPr>
          <w:rFonts w:hint="eastAsia"/>
          <w:color w:val="auto"/>
          <w:highlight w:val="none"/>
        </w:rPr>
        <w:t xml:space="preserve">合同解除后，发包人商定或确定承包人实际完成工作的价值，以及承包人已提供的材料、施工设备、工程设备和临时工程等的价值。 </w:t>
      </w:r>
    </w:p>
    <w:p>
      <w:pPr>
        <w:spacing w:line="360" w:lineRule="auto"/>
        <w:ind w:firstLine="420" w:firstLineChars="200"/>
        <w:rPr>
          <w:color w:val="auto"/>
          <w:highlight w:val="none"/>
        </w:rPr>
      </w:pPr>
      <w:r>
        <w:rPr>
          <w:rFonts w:hint="eastAsia"/>
          <w:color w:val="auto"/>
          <w:highlight w:val="none"/>
        </w:rPr>
        <w:t xml:space="preserve">合同解除后，发包人有权暂停对承包人的一切付款，核清各项付款和已扣款金额，以及承包人应支付的违约金。 </w:t>
      </w:r>
    </w:p>
    <w:p>
      <w:pPr>
        <w:spacing w:line="360" w:lineRule="auto"/>
        <w:ind w:firstLine="420" w:firstLineChars="200"/>
        <w:rPr>
          <w:color w:val="auto"/>
          <w:highlight w:val="none"/>
        </w:rPr>
      </w:pPr>
      <w:r>
        <w:rPr>
          <w:rFonts w:hint="eastAsia"/>
          <w:color w:val="auto"/>
          <w:highlight w:val="none"/>
        </w:rPr>
        <w:t>发包人有权没收履约担保项下的金额，并按合同约定扣留承包人一定比例的质量保证金，承包人应当按合同约定承担缺陷保修责任，计算缺陷责任期、保修期的开始时间由双方协商确定。</w:t>
      </w:r>
    </w:p>
    <w:p>
      <w:pPr>
        <w:spacing w:line="360" w:lineRule="auto"/>
        <w:ind w:firstLine="420" w:firstLineChars="200"/>
        <w:rPr>
          <w:color w:val="auto"/>
          <w:highlight w:val="none"/>
        </w:rPr>
      </w:pPr>
      <w:r>
        <w:rPr>
          <w:rFonts w:hint="eastAsia"/>
          <w:color w:val="auto"/>
          <w:highlight w:val="none"/>
        </w:rPr>
        <w:t>合同解除后，发包人应向承包人索赔由于解除合同给发包人造成的全部损失。</w:t>
      </w:r>
    </w:p>
    <w:p>
      <w:pPr>
        <w:spacing w:line="360" w:lineRule="auto"/>
        <w:ind w:firstLine="420" w:firstLineChars="200"/>
        <w:rPr>
          <w:color w:val="auto"/>
          <w:highlight w:val="none"/>
        </w:rPr>
      </w:pPr>
      <w:r>
        <w:rPr>
          <w:rFonts w:hint="eastAsia"/>
          <w:color w:val="auto"/>
          <w:highlight w:val="none"/>
        </w:rPr>
        <w:t>发包人和承包人未能就解除合同后的结清达成一致而形成争议的，按第23条的约定办理。</w:t>
      </w:r>
    </w:p>
    <w:p>
      <w:pPr>
        <w:pStyle w:val="7"/>
        <w:numPr>
          <w:ilvl w:val="2"/>
          <w:numId w:val="6"/>
        </w:numPr>
        <w:ind w:left="0" w:firstLine="420" w:firstLineChars="200"/>
        <w:rPr>
          <w:color w:val="auto"/>
          <w:highlight w:val="none"/>
        </w:rPr>
      </w:pPr>
      <w:r>
        <w:rPr>
          <w:rFonts w:hint="eastAsia"/>
          <w:color w:val="auto"/>
          <w:highlight w:val="none"/>
        </w:rPr>
        <w:t>协议利益的转让</w:t>
      </w:r>
    </w:p>
    <w:p>
      <w:pPr>
        <w:adjustRightInd w:val="0"/>
        <w:snapToGrid w:val="0"/>
        <w:spacing w:line="360" w:lineRule="auto"/>
        <w:ind w:firstLine="420" w:firstLineChars="200"/>
        <w:rPr>
          <w:color w:val="auto"/>
          <w:highlight w:val="none"/>
        </w:rPr>
      </w:pPr>
      <w:r>
        <w:rPr>
          <w:rFonts w:hint="eastAsia"/>
          <w:color w:val="auto"/>
          <w:highlight w:val="none"/>
        </w:rPr>
        <w:t>因承包人违约解除合同或发包人因承包人违约而解除合同的，发包人有权要求承包人将其为实施合同而签订的材料和设备的订货协议或任何服务协议利益按不高于其项下待支付价款或届时市场批发价格（以低者为准）转让给发包人或发包人指定的接替承包人或其分包人，并在解除合同后的</w:t>
      </w:r>
      <w:r>
        <w:rPr>
          <w:rFonts w:hint="eastAsia" w:ascii="宋体" w:hAnsi="宋体"/>
          <w:color w:val="auto"/>
          <w:highlight w:val="none"/>
        </w:rPr>
        <w:t>14</w:t>
      </w:r>
      <w:r>
        <w:rPr>
          <w:rFonts w:hint="eastAsia"/>
          <w:color w:val="auto"/>
          <w:highlight w:val="none"/>
        </w:rPr>
        <w:t>天内，依法办理转让手续。承包人应按发包人的要求办理。</w:t>
      </w:r>
    </w:p>
    <w:p>
      <w:pPr>
        <w:pStyle w:val="7"/>
        <w:numPr>
          <w:ilvl w:val="2"/>
          <w:numId w:val="6"/>
        </w:numPr>
        <w:ind w:left="0" w:firstLine="420" w:firstLineChars="200"/>
        <w:rPr>
          <w:color w:val="auto"/>
          <w:highlight w:val="none"/>
        </w:rPr>
      </w:pPr>
      <w:r>
        <w:rPr>
          <w:rFonts w:hint="eastAsia"/>
          <w:color w:val="auto"/>
          <w:highlight w:val="none"/>
        </w:rPr>
        <w:t>紧急情况下无能力或不愿进行抢救</w:t>
      </w:r>
    </w:p>
    <w:p>
      <w:pPr>
        <w:adjustRightInd w:val="0"/>
        <w:snapToGrid w:val="0"/>
        <w:spacing w:line="360" w:lineRule="auto"/>
        <w:ind w:firstLine="420" w:firstLineChars="200"/>
        <w:rPr>
          <w:color w:val="auto"/>
          <w:highlight w:val="none"/>
        </w:rPr>
      </w:pPr>
      <w:r>
        <w:rPr>
          <w:rFonts w:hint="eastAsia"/>
          <w:color w:val="auto"/>
          <w:highlight w:val="none"/>
        </w:rPr>
        <w:t>在工程实施期间或缺陷责任期、保修期内发生危及工程安全的事件，监理人通知承包人进行抢救，承包人声明无能力或不愿立即执行或实际执行不足的，发包人有权雇佣其他人员进行抢救。此类抢救按合同约定属于承包人义务的，由此发生的金额和（或）工期延误由承包人承担。</w:t>
      </w:r>
    </w:p>
    <w:p>
      <w:pPr>
        <w:pStyle w:val="7"/>
        <w:numPr>
          <w:ilvl w:val="2"/>
          <w:numId w:val="6"/>
        </w:numPr>
        <w:ind w:left="0" w:firstLine="420" w:firstLineChars="200"/>
        <w:rPr>
          <w:color w:val="auto"/>
          <w:highlight w:val="none"/>
        </w:rPr>
      </w:pPr>
      <w:bookmarkStart w:id="211" w:name="_Hlk135214044"/>
      <w:r>
        <w:rPr>
          <w:rFonts w:hint="eastAsia"/>
          <w:color w:val="auto"/>
          <w:highlight w:val="none"/>
        </w:rPr>
        <w:t>承包人其它违约情况及处理方式在专用条款中说明</w:t>
      </w:r>
      <w:bookmarkEnd w:id="211"/>
      <w:r>
        <w:rPr>
          <w:rFonts w:hint="eastAsia"/>
          <w:color w:val="auto"/>
          <w:highlight w:val="none"/>
        </w:rPr>
        <w:t>。</w:t>
      </w:r>
    </w:p>
    <w:p>
      <w:pPr>
        <w:pStyle w:val="6"/>
        <w:numPr>
          <w:ilvl w:val="1"/>
          <w:numId w:val="6"/>
        </w:numPr>
        <w:ind w:left="0" w:firstLine="422" w:firstLineChars="200"/>
        <w:rPr>
          <w:color w:val="auto"/>
          <w:highlight w:val="none"/>
        </w:rPr>
      </w:pPr>
      <w:r>
        <w:rPr>
          <w:rFonts w:hint="eastAsia"/>
          <w:color w:val="auto"/>
          <w:highlight w:val="none"/>
        </w:rPr>
        <w:t>发包人违约</w:t>
      </w:r>
    </w:p>
    <w:p>
      <w:pPr>
        <w:pStyle w:val="7"/>
        <w:numPr>
          <w:ilvl w:val="2"/>
          <w:numId w:val="6"/>
        </w:numPr>
        <w:ind w:left="0" w:firstLine="420" w:firstLineChars="200"/>
        <w:rPr>
          <w:color w:val="auto"/>
          <w:highlight w:val="none"/>
        </w:rPr>
      </w:pPr>
      <w:r>
        <w:rPr>
          <w:rFonts w:hint="eastAsia"/>
          <w:color w:val="auto"/>
          <w:highlight w:val="none"/>
        </w:rPr>
        <w:t>在履行合同过程中发生的下列情形，属发包人违约：</w:t>
      </w:r>
    </w:p>
    <w:p>
      <w:pPr>
        <w:pStyle w:val="8"/>
        <w:numPr>
          <w:ilvl w:val="0"/>
          <w:numId w:val="40"/>
        </w:numPr>
        <w:ind w:left="0" w:firstLine="420" w:firstLineChars="200"/>
        <w:rPr>
          <w:color w:val="auto"/>
          <w:highlight w:val="none"/>
        </w:rPr>
      </w:pPr>
      <w:r>
        <w:rPr>
          <w:rFonts w:hint="eastAsia"/>
          <w:color w:val="auto"/>
          <w:highlight w:val="none"/>
        </w:rPr>
        <w:t>发包人责任原因造成停工累计60天以上的；</w:t>
      </w:r>
    </w:p>
    <w:p>
      <w:pPr>
        <w:pStyle w:val="8"/>
        <w:numPr>
          <w:ilvl w:val="0"/>
          <w:numId w:val="40"/>
        </w:numPr>
        <w:ind w:left="0" w:firstLine="420" w:firstLineChars="200"/>
        <w:rPr>
          <w:color w:val="auto"/>
          <w:highlight w:val="none"/>
        </w:rPr>
      </w:pPr>
      <w:r>
        <w:rPr>
          <w:rFonts w:hint="eastAsia"/>
          <w:color w:val="auto"/>
          <w:highlight w:val="none"/>
        </w:rPr>
        <w:t>因发包人未能按专用条款的约定提供图纸及开工条件、迟延提供材料、工程设备导致的工期延误超过7天的；</w:t>
      </w:r>
    </w:p>
    <w:p>
      <w:pPr>
        <w:pStyle w:val="8"/>
        <w:numPr>
          <w:ilvl w:val="0"/>
          <w:numId w:val="40"/>
        </w:numPr>
        <w:ind w:left="0" w:firstLine="420" w:firstLineChars="200"/>
        <w:rPr>
          <w:color w:val="auto"/>
          <w:highlight w:val="none"/>
        </w:rPr>
      </w:pPr>
      <w:r>
        <w:rPr>
          <w:rFonts w:hint="eastAsia"/>
          <w:color w:val="auto"/>
          <w:highlight w:val="none"/>
        </w:rPr>
        <w:t>发包人无法继续履行或明确表示不履行或实质上已停止履行合同的；</w:t>
      </w:r>
    </w:p>
    <w:p>
      <w:pPr>
        <w:pStyle w:val="8"/>
        <w:numPr>
          <w:ilvl w:val="0"/>
          <w:numId w:val="40"/>
        </w:numPr>
        <w:ind w:left="0" w:firstLine="420" w:firstLineChars="200"/>
        <w:rPr>
          <w:color w:val="auto"/>
          <w:highlight w:val="none"/>
        </w:rPr>
      </w:pPr>
      <w:r>
        <w:rPr>
          <w:rFonts w:hint="eastAsia"/>
          <w:color w:val="auto"/>
          <w:highlight w:val="none"/>
        </w:rPr>
        <w:t>发包人未能在宽限期结束前付款的；</w:t>
      </w:r>
    </w:p>
    <w:p>
      <w:pPr>
        <w:pStyle w:val="8"/>
        <w:numPr>
          <w:ilvl w:val="0"/>
          <w:numId w:val="40"/>
        </w:numPr>
        <w:ind w:left="0" w:firstLine="420" w:firstLineChars="200"/>
        <w:rPr>
          <w:color w:val="auto"/>
          <w:highlight w:val="none"/>
        </w:rPr>
      </w:pPr>
      <w:r>
        <w:rPr>
          <w:rFonts w:hint="eastAsia"/>
          <w:color w:val="auto"/>
          <w:highlight w:val="none"/>
        </w:rPr>
        <w:t>专用条款约定属发包人违约的其他情形。</w:t>
      </w:r>
    </w:p>
    <w:p>
      <w:pPr>
        <w:pStyle w:val="7"/>
        <w:numPr>
          <w:ilvl w:val="2"/>
          <w:numId w:val="6"/>
        </w:numPr>
        <w:ind w:left="0" w:firstLine="420" w:firstLineChars="200"/>
        <w:rPr>
          <w:color w:val="auto"/>
          <w:highlight w:val="none"/>
        </w:rPr>
      </w:pPr>
      <w:r>
        <w:rPr>
          <w:rFonts w:hint="eastAsia"/>
          <w:color w:val="auto"/>
          <w:highlight w:val="none"/>
        </w:rPr>
        <w:t>发包人发生违约情况时，承包人可向发包人发出通知，要求发包人采取有效措施纠正违约行为。发包人收到承包人通知后的28天内仍不履行合同义务，属22.2.1（2）的发包人应承担由此导致的工期延误，属其它情形的，发包人应承担由此增加的费用和（或）工期延误。</w:t>
      </w:r>
    </w:p>
    <w:p>
      <w:pPr>
        <w:pStyle w:val="6"/>
        <w:numPr>
          <w:ilvl w:val="1"/>
          <w:numId w:val="6"/>
        </w:numPr>
        <w:ind w:left="0" w:firstLine="422" w:firstLineChars="200"/>
        <w:rPr>
          <w:color w:val="auto"/>
          <w:highlight w:val="none"/>
        </w:rPr>
      </w:pPr>
      <w:r>
        <w:rPr>
          <w:rFonts w:hint="eastAsia"/>
          <w:color w:val="auto"/>
          <w:highlight w:val="none"/>
        </w:rPr>
        <w:t>第三人造成的违约</w:t>
      </w:r>
    </w:p>
    <w:p>
      <w:pPr>
        <w:pStyle w:val="7"/>
        <w:numPr>
          <w:ilvl w:val="2"/>
          <w:numId w:val="6"/>
        </w:numPr>
        <w:ind w:left="0" w:firstLine="420" w:firstLineChars="200"/>
        <w:rPr>
          <w:color w:val="auto"/>
          <w:highlight w:val="none"/>
        </w:rPr>
      </w:pPr>
      <w:r>
        <w:rPr>
          <w:rFonts w:hint="eastAsia"/>
          <w:color w:val="auto"/>
          <w:highlight w:val="none"/>
        </w:rPr>
        <w:t>在履行合同过程中，一方当事人因第三人的原因造成违约的，应当向对方当事人承担违约责任。一方当事人和第三人之间的纠纷，依照法律规定或者按照约定解决。</w:t>
      </w:r>
    </w:p>
    <w:p>
      <w:pPr>
        <w:pStyle w:val="5"/>
        <w:numPr>
          <w:ilvl w:val="0"/>
          <w:numId w:val="6"/>
        </w:numPr>
        <w:ind w:left="0" w:firstLine="562" w:firstLineChars="200"/>
        <w:rPr>
          <w:color w:val="auto"/>
          <w:highlight w:val="none"/>
        </w:rPr>
      </w:pPr>
      <w:bookmarkStart w:id="212" w:name="_Toc464649556"/>
      <w:bookmarkStart w:id="213" w:name="_Toc33445966"/>
      <w:bookmarkStart w:id="214" w:name="_Toc11760"/>
      <w:bookmarkStart w:id="215" w:name="_Toc33446069"/>
      <w:bookmarkStart w:id="216" w:name="_Toc33092179"/>
      <w:bookmarkStart w:id="217" w:name="_Toc33448467"/>
      <w:bookmarkStart w:id="218" w:name="_Toc133502191"/>
      <w:bookmarkStart w:id="219" w:name="_Toc33445891"/>
      <w:bookmarkStart w:id="220" w:name="_Toc33448396"/>
      <w:r>
        <w:rPr>
          <w:rFonts w:hint="eastAsia"/>
          <w:color w:val="auto"/>
          <w:highlight w:val="none"/>
        </w:rPr>
        <w:t>争议的解决</w:t>
      </w:r>
      <w:bookmarkEnd w:id="212"/>
      <w:bookmarkEnd w:id="213"/>
      <w:bookmarkEnd w:id="214"/>
      <w:bookmarkEnd w:id="215"/>
      <w:bookmarkEnd w:id="216"/>
      <w:bookmarkEnd w:id="217"/>
      <w:bookmarkEnd w:id="218"/>
      <w:bookmarkEnd w:id="219"/>
      <w:bookmarkEnd w:id="220"/>
    </w:p>
    <w:p>
      <w:pPr>
        <w:pStyle w:val="6"/>
        <w:numPr>
          <w:ilvl w:val="1"/>
          <w:numId w:val="6"/>
        </w:numPr>
        <w:ind w:left="0" w:firstLine="422" w:firstLineChars="200"/>
        <w:rPr>
          <w:color w:val="auto"/>
          <w:highlight w:val="none"/>
        </w:rPr>
      </w:pPr>
      <w:r>
        <w:rPr>
          <w:rFonts w:hint="eastAsia"/>
          <w:color w:val="auto"/>
          <w:highlight w:val="none"/>
        </w:rPr>
        <w:t>争议的解决方式</w:t>
      </w:r>
    </w:p>
    <w:p>
      <w:pPr>
        <w:pStyle w:val="7"/>
        <w:numPr>
          <w:ilvl w:val="2"/>
          <w:numId w:val="6"/>
        </w:numPr>
        <w:ind w:left="0" w:firstLine="420" w:firstLineChars="200"/>
        <w:rPr>
          <w:color w:val="auto"/>
          <w:highlight w:val="none"/>
        </w:rPr>
      </w:pPr>
      <w:r>
        <w:rPr>
          <w:rFonts w:hint="eastAsia"/>
          <w:color w:val="auto"/>
          <w:highlight w:val="none"/>
        </w:rPr>
        <w:t>合同当事人双方在履行合同时发生争议，双方应友好协商，可以采取和解或者要求有关主管部门调解。当事人不愿和解、调解或者和解、调解不成的，采取向本工程所在地的人民法院提起诉讼的方式解决。</w:t>
      </w:r>
    </w:p>
    <w:p>
      <w:pPr>
        <w:pStyle w:val="6"/>
        <w:numPr>
          <w:ilvl w:val="1"/>
          <w:numId w:val="6"/>
        </w:numPr>
        <w:ind w:left="0" w:firstLine="422" w:firstLineChars="200"/>
        <w:rPr>
          <w:color w:val="auto"/>
          <w:highlight w:val="none"/>
        </w:rPr>
      </w:pPr>
      <w:r>
        <w:rPr>
          <w:rFonts w:hint="eastAsia"/>
          <w:color w:val="auto"/>
          <w:highlight w:val="none"/>
        </w:rPr>
        <w:t>争议的解决</w:t>
      </w:r>
    </w:p>
    <w:p>
      <w:pPr>
        <w:pStyle w:val="7"/>
        <w:numPr>
          <w:ilvl w:val="2"/>
          <w:numId w:val="6"/>
        </w:numPr>
        <w:ind w:left="0" w:firstLine="420" w:firstLineChars="200"/>
        <w:rPr>
          <w:color w:val="auto"/>
          <w:highlight w:val="none"/>
        </w:rPr>
      </w:pPr>
      <w:r>
        <w:rPr>
          <w:rFonts w:hint="eastAsia"/>
          <w:color w:val="auto"/>
          <w:highlight w:val="none"/>
        </w:rPr>
        <w:t>发生争议后，除非出现下列情况的，合同当事人双方都应继续履行合同，承包人保持施工连续，保护好已完工程：</w:t>
      </w:r>
    </w:p>
    <w:p>
      <w:pPr>
        <w:pStyle w:val="8"/>
        <w:numPr>
          <w:ilvl w:val="0"/>
          <w:numId w:val="41"/>
        </w:numPr>
        <w:rPr>
          <w:color w:val="auto"/>
          <w:highlight w:val="none"/>
        </w:rPr>
      </w:pPr>
      <w:r>
        <w:rPr>
          <w:rFonts w:hint="eastAsia"/>
          <w:color w:val="auto"/>
          <w:highlight w:val="none"/>
        </w:rPr>
        <w:t>调解要求停止施工，且为合同当事人双方接受；</w:t>
      </w:r>
    </w:p>
    <w:p>
      <w:pPr>
        <w:pStyle w:val="8"/>
        <w:numPr>
          <w:ilvl w:val="0"/>
          <w:numId w:val="25"/>
        </w:numPr>
        <w:rPr>
          <w:color w:val="auto"/>
          <w:highlight w:val="none"/>
        </w:rPr>
      </w:pPr>
      <w:r>
        <w:rPr>
          <w:rFonts w:hint="eastAsia"/>
          <w:color w:val="auto"/>
          <w:highlight w:val="none"/>
        </w:rPr>
        <w:t>法院要求停止施工。</w:t>
      </w:r>
    </w:p>
    <w:p>
      <w:pPr>
        <w:pStyle w:val="5"/>
        <w:jc w:val="center"/>
        <w:rPr>
          <w:color w:val="auto"/>
          <w:highlight w:val="none"/>
        </w:rPr>
      </w:pPr>
      <w:r>
        <w:rPr>
          <w:color w:val="auto"/>
          <w:highlight w:val="none"/>
        </w:rPr>
        <w:br w:type="page"/>
      </w:r>
      <w:bookmarkEnd w:id="11"/>
      <w:bookmarkStart w:id="221" w:name="_Toc133502192"/>
      <w:bookmarkStart w:id="222" w:name="_Toc33448468"/>
      <w:r>
        <w:rPr>
          <w:rFonts w:hint="eastAsia"/>
          <w:color w:val="auto"/>
          <w:highlight w:val="none"/>
        </w:rPr>
        <w:t xml:space="preserve">第三部分 </w:t>
      </w:r>
      <w:r>
        <w:rPr>
          <w:color w:val="auto"/>
          <w:highlight w:val="none"/>
        </w:rPr>
        <w:t xml:space="preserve"> </w:t>
      </w:r>
      <w:r>
        <w:rPr>
          <w:rFonts w:hint="eastAsia"/>
          <w:color w:val="auto"/>
          <w:highlight w:val="none"/>
        </w:rPr>
        <w:t>专用条款</w:t>
      </w:r>
      <w:bookmarkEnd w:id="221"/>
      <w:bookmarkEnd w:id="222"/>
    </w:p>
    <w:p>
      <w:pPr>
        <w:adjustRightInd w:val="0"/>
        <w:snapToGrid w:val="0"/>
        <w:spacing w:line="360" w:lineRule="auto"/>
        <w:jc w:val="center"/>
        <w:rPr>
          <w:color w:val="auto"/>
          <w:highlight w:val="none"/>
        </w:rPr>
      </w:pPr>
    </w:p>
    <w:p>
      <w:pPr>
        <w:adjustRightInd w:val="0"/>
        <w:snapToGrid w:val="0"/>
        <w:spacing w:line="360" w:lineRule="auto"/>
        <w:jc w:val="center"/>
        <w:rPr>
          <w:b/>
          <w:color w:val="auto"/>
          <w:sz w:val="28"/>
          <w:szCs w:val="28"/>
          <w:highlight w:val="none"/>
        </w:rPr>
      </w:pPr>
      <w:r>
        <w:rPr>
          <w:rFonts w:hint="eastAsia"/>
          <w:b/>
          <w:color w:val="auto"/>
          <w:sz w:val="28"/>
          <w:szCs w:val="28"/>
          <w:highlight w:val="none"/>
        </w:rPr>
        <w:t>目录</w:t>
      </w:r>
    </w:p>
    <w:p>
      <w:pPr>
        <w:adjustRightInd w:val="0"/>
        <w:snapToGrid w:val="0"/>
        <w:spacing w:line="360" w:lineRule="auto"/>
        <w:jc w:val="center"/>
        <w:rPr>
          <w:color w:val="auto"/>
          <w:highlight w:val="none"/>
        </w:rPr>
      </w:pPr>
    </w:p>
    <w:p>
      <w:pPr>
        <w:pStyle w:val="30"/>
        <w:tabs>
          <w:tab w:val="right" w:leader="dot" w:pos="9528"/>
          <w:tab w:val="clear" w:pos="735"/>
          <w:tab w:val="clear" w:pos="9518"/>
        </w:tabs>
        <w:rPr>
          <w:color w:val="auto"/>
          <w:highlight w:val="none"/>
        </w:rPr>
      </w:pPr>
      <w:r>
        <w:rPr>
          <w:rFonts w:hAnsi="宋体"/>
          <w:color w:val="auto"/>
          <w:highlight w:val="none"/>
        </w:rPr>
        <w:fldChar w:fldCharType="begin"/>
      </w:r>
      <w:r>
        <w:rPr>
          <w:rFonts w:hAnsi="宋体"/>
          <w:color w:val="auto"/>
          <w:highlight w:val="none"/>
        </w:rPr>
        <w:instrText xml:space="preserve"> TOC \b p3 \o "1-1" \h \z \u </w:instrText>
      </w:r>
      <w:r>
        <w:rPr>
          <w:rFonts w:hAnsi="宋体"/>
          <w:color w:val="auto"/>
          <w:highlight w:val="none"/>
        </w:rPr>
        <w:fldChar w:fldCharType="separate"/>
      </w:r>
      <w:r>
        <w:rPr>
          <w:color w:val="auto"/>
          <w:highlight w:val="none"/>
        </w:rPr>
        <w:fldChar w:fldCharType="begin"/>
      </w:r>
      <w:r>
        <w:rPr>
          <w:color w:val="auto"/>
          <w:highlight w:val="none"/>
        </w:rPr>
        <w:instrText xml:space="preserve"> HYPERLINK \l "_Toc29480" </w:instrText>
      </w:r>
      <w:r>
        <w:rPr>
          <w:color w:val="auto"/>
          <w:highlight w:val="none"/>
        </w:rPr>
        <w:fldChar w:fldCharType="separate"/>
      </w:r>
      <w:r>
        <w:rPr>
          <w:color w:val="auto"/>
          <w:highlight w:val="none"/>
        </w:rPr>
        <w:t xml:space="preserve">1. </w:t>
      </w:r>
      <w:r>
        <w:rPr>
          <w:rFonts w:hint="eastAsia"/>
          <w:color w:val="auto"/>
          <w:highlight w:val="none"/>
        </w:rPr>
        <w:t>一般约定</w:t>
      </w:r>
      <w:r>
        <w:rPr>
          <w:color w:val="auto"/>
          <w:highlight w:val="none"/>
        </w:rPr>
        <w:tab/>
      </w:r>
      <w:r>
        <w:rPr>
          <w:color w:val="auto"/>
          <w:highlight w:val="none"/>
        </w:rPr>
        <w:fldChar w:fldCharType="begin"/>
      </w:r>
      <w:r>
        <w:rPr>
          <w:color w:val="auto"/>
          <w:highlight w:val="none"/>
        </w:rPr>
        <w:instrText xml:space="preserve"> PAGEREF _Toc29480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"_Toc21472" </w:instrText>
      </w:r>
      <w:r>
        <w:rPr>
          <w:color w:val="auto"/>
          <w:highlight w:val="none"/>
        </w:rPr>
        <w:fldChar w:fldCharType="separate"/>
      </w:r>
      <w:r>
        <w:rPr>
          <w:color w:val="auto"/>
          <w:highlight w:val="none"/>
        </w:rPr>
        <w:t xml:space="preserve">2. </w:t>
      </w:r>
      <w:r>
        <w:rPr>
          <w:rFonts w:hint="eastAsia"/>
          <w:color w:val="auto"/>
          <w:highlight w:val="none"/>
        </w:rPr>
        <w:t>发包人</w:t>
      </w:r>
      <w:r>
        <w:rPr>
          <w:color w:val="auto"/>
          <w:highlight w:val="none"/>
        </w:rPr>
        <w:tab/>
      </w:r>
      <w:r>
        <w:rPr>
          <w:color w:val="auto"/>
          <w:highlight w:val="none"/>
        </w:rPr>
        <w:fldChar w:fldCharType="begin"/>
      </w:r>
      <w:r>
        <w:rPr>
          <w:color w:val="auto"/>
          <w:highlight w:val="none"/>
        </w:rPr>
        <w:instrText xml:space="preserve"> PAGEREF _Toc21472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"_Toc30803" </w:instrText>
      </w:r>
      <w:r>
        <w:rPr>
          <w:color w:val="auto"/>
          <w:highlight w:val="none"/>
        </w:rPr>
        <w:fldChar w:fldCharType="separate"/>
      </w:r>
      <w:r>
        <w:rPr>
          <w:color w:val="auto"/>
          <w:highlight w:val="none"/>
        </w:rPr>
        <w:t xml:space="preserve">3. </w:t>
      </w:r>
      <w:r>
        <w:rPr>
          <w:rFonts w:hint="eastAsia"/>
          <w:color w:val="auto"/>
          <w:highlight w:val="none"/>
        </w:rPr>
        <w:t>监理人及造价咨询人</w:t>
      </w:r>
      <w:r>
        <w:rPr>
          <w:color w:val="auto"/>
          <w:highlight w:val="none"/>
        </w:rPr>
        <w:tab/>
      </w:r>
      <w:r>
        <w:rPr>
          <w:color w:val="auto"/>
          <w:highlight w:val="none"/>
        </w:rPr>
        <w:fldChar w:fldCharType="begin"/>
      </w:r>
      <w:r>
        <w:rPr>
          <w:color w:val="auto"/>
          <w:highlight w:val="none"/>
        </w:rPr>
        <w:instrText xml:space="preserve"> PAGEREF _Toc30803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"_Toc28056" </w:instrText>
      </w:r>
      <w:r>
        <w:rPr>
          <w:color w:val="auto"/>
          <w:highlight w:val="none"/>
        </w:rPr>
        <w:fldChar w:fldCharType="separate"/>
      </w:r>
      <w:r>
        <w:rPr>
          <w:color w:val="auto"/>
          <w:highlight w:val="none"/>
        </w:rPr>
        <w:t xml:space="preserve">4. </w:t>
      </w:r>
      <w:r>
        <w:rPr>
          <w:rFonts w:hint="eastAsia"/>
          <w:color w:val="auto"/>
          <w:highlight w:val="none"/>
        </w:rPr>
        <w:t>承包人</w:t>
      </w:r>
      <w:r>
        <w:rPr>
          <w:color w:val="auto"/>
          <w:highlight w:val="none"/>
        </w:rPr>
        <w:tab/>
      </w:r>
      <w:r>
        <w:rPr>
          <w:color w:val="auto"/>
          <w:highlight w:val="none"/>
        </w:rPr>
        <w:fldChar w:fldCharType="begin"/>
      </w:r>
      <w:r>
        <w:rPr>
          <w:color w:val="auto"/>
          <w:highlight w:val="none"/>
        </w:rPr>
        <w:instrText xml:space="preserve"> PAGEREF _Toc28056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"_Toc666" </w:instrText>
      </w:r>
      <w:r>
        <w:rPr>
          <w:color w:val="auto"/>
          <w:highlight w:val="none"/>
        </w:rPr>
        <w:fldChar w:fldCharType="separate"/>
      </w:r>
      <w:r>
        <w:rPr>
          <w:color w:val="auto"/>
          <w:highlight w:val="none"/>
        </w:rPr>
        <w:t xml:space="preserve">5. </w:t>
      </w:r>
      <w:r>
        <w:rPr>
          <w:rFonts w:hint="eastAsia"/>
          <w:color w:val="auto"/>
          <w:highlight w:val="none"/>
        </w:rPr>
        <w:t>材料和工程设备</w:t>
      </w:r>
      <w:r>
        <w:rPr>
          <w:color w:val="auto"/>
          <w:highlight w:val="none"/>
        </w:rPr>
        <w:tab/>
      </w:r>
      <w:r>
        <w:rPr>
          <w:color w:val="auto"/>
          <w:highlight w:val="none"/>
        </w:rPr>
        <w:fldChar w:fldCharType="begin"/>
      </w:r>
      <w:r>
        <w:rPr>
          <w:color w:val="auto"/>
          <w:highlight w:val="none"/>
        </w:rPr>
        <w:instrText xml:space="preserve"> PAGEREF _Toc666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"_Toc20239" </w:instrText>
      </w:r>
      <w:r>
        <w:rPr>
          <w:color w:val="auto"/>
          <w:highlight w:val="none"/>
        </w:rPr>
        <w:fldChar w:fldCharType="separate"/>
      </w:r>
      <w:r>
        <w:rPr>
          <w:color w:val="auto"/>
          <w:highlight w:val="none"/>
        </w:rPr>
        <w:t xml:space="preserve">6. </w:t>
      </w:r>
      <w:r>
        <w:rPr>
          <w:rFonts w:hint="eastAsia"/>
          <w:color w:val="auto"/>
          <w:highlight w:val="none"/>
        </w:rPr>
        <w:t>施工设备和临时设施</w:t>
      </w:r>
      <w:r>
        <w:rPr>
          <w:color w:val="auto"/>
          <w:highlight w:val="none"/>
        </w:rPr>
        <w:tab/>
      </w:r>
      <w:r>
        <w:rPr>
          <w:color w:val="auto"/>
          <w:highlight w:val="none"/>
        </w:rPr>
        <w:fldChar w:fldCharType="begin"/>
      </w:r>
      <w:r>
        <w:rPr>
          <w:color w:val="auto"/>
          <w:highlight w:val="none"/>
        </w:rPr>
        <w:instrText xml:space="preserve"> PAGEREF _Toc20239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"_Toc18801" </w:instrText>
      </w:r>
      <w:r>
        <w:rPr>
          <w:color w:val="auto"/>
          <w:highlight w:val="none"/>
        </w:rPr>
        <w:fldChar w:fldCharType="separate"/>
      </w:r>
      <w:r>
        <w:rPr>
          <w:color w:val="auto"/>
          <w:highlight w:val="none"/>
        </w:rPr>
        <w:t xml:space="preserve">7. </w:t>
      </w:r>
      <w:r>
        <w:rPr>
          <w:rFonts w:hint="eastAsia"/>
          <w:color w:val="auto"/>
          <w:highlight w:val="none"/>
        </w:rPr>
        <w:t>交通运输</w:t>
      </w:r>
      <w:r>
        <w:rPr>
          <w:color w:val="auto"/>
          <w:highlight w:val="none"/>
        </w:rPr>
        <w:tab/>
      </w:r>
      <w:r>
        <w:rPr>
          <w:color w:val="auto"/>
          <w:highlight w:val="none"/>
        </w:rPr>
        <w:fldChar w:fldCharType="begin"/>
      </w:r>
      <w:r>
        <w:rPr>
          <w:color w:val="auto"/>
          <w:highlight w:val="none"/>
        </w:rPr>
        <w:instrText xml:space="preserve"> PAGEREF _Toc18801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"_Toc29819" </w:instrText>
      </w:r>
      <w:r>
        <w:rPr>
          <w:color w:val="auto"/>
          <w:highlight w:val="none"/>
        </w:rPr>
        <w:fldChar w:fldCharType="separate"/>
      </w:r>
      <w:r>
        <w:rPr>
          <w:color w:val="auto"/>
          <w:highlight w:val="none"/>
        </w:rPr>
        <w:t xml:space="preserve">8. </w:t>
      </w:r>
      <w:r>
        <w:rPr>
          <w:rFonts w:hint="eastAsia"/>
          <w:color w:val="auto"/>
          <w:highlight w:val="none"/>
        </w:rPr>
        <w:t>测量放线</w:t>
      </w:r>
      <w:r>
        <w:rPr>
          <w:color w:val="auto"/>
          <w:highlight w:val="none"/>
        </w:rPr>
        <w:tab/>
      </w:r>
      <w:r>
        <w:rPr>
          <w:color w:val="auto"/>
          <w:highlight w:val="none"/>
        </w:rPr>
        <w:fldChar w:fldCharType="begin"/>
      </w:r>
      <w:r>
        <w:rPr>
          <w:color w:val="auto"/>
          <w:highlight w:val="none"/>
        </w:rPr>
        <w:instrText xml:space="preserve"> PAGEREF _Toc29819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"_Toc14459" </w:instrText>
      </w:r>
      <w:r>
        <w:rPr>
          <w:color w:val="auto"/>
          <w:highlight w:val="none"/>
        </w:rPr>
        <w:fldChar w:fldCharType="separate"/>
      </w:r>
      <w:r>
        <w:rPr>
          <w:color w:val="auto"/>
          <w:highlight w:val="none"/>
        </w:rPr>
        <w:t xml:space="preserve">9. </w:t>
      </w:r>
      <w:r>
        <w:rPr>
          <w:rFonts w:hint="eastAsia"/>
          <w:color w:val="auto"/>
          <w:highlight w:val="none"/>
        </w:rPr>
        <w:t>施工安全、治安保卫和环境保护</w:t>
      </w:r>
      <w:r>
        <w:rPr>
          <w:color w:val="auto"/>
          <w:highlight w:val="none"/>
        </w:rPr>
        <w:tab/>
      </w:r>
      <w:r>
        <w:rPr>
          <w:color w:val="auto"/>
          <w:highlight w:val="none"/>
        </w:rPr>
        <w:fldChar w:fldCharType="begin"/>
      </w:r>
      <w:r>
        <w:rPr>
          <w:color w:val="auto"/>
          <w:highlight w:val="none"/>
        </w:rPr>
        <w:instrText xml:space="preserve"> PAGEREF _Toc14459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"_Toc8724" </w:instrText>
      </w:r>
      <w:r>
        <w:rPr>
          <w:color w:val="auto"/>
          <w:highlight w:val="none"/>
        </w:rPr>
        <w:fldChar w:fldCharType="separate"/>
      </w:r>
      <w:r>
        <w:rPr>
          <w:color w:val="auto"/>
          <w:highlight w:val="none"/>
        </w:rPr>
        <w:t xml:space="preserve">10. </w:t>
      </w:r>
      <w:r>
        <w:rPr>
          <w:rFonts w:hint="eastAsia"/>
          <w:color w:val="auto"/>
          <w:highlight w:val="none"/>
        </w:rPr>
        <w:t>进度计划</w:t>
      </w:r>
      <w:r>
        <w:rPr>
          <w:color w:val="auto"/>
          <w:highlight w:val="none"/>
        </w:rPr>
        <w:tab/>
      </w:r>
      <w:r>
        <w:rPr>
          <w:color w:val="auto"/>
          <w:highlight w:val="none"/>
        </w:rPr>
        <w:fldChar w:fldCharType="begin"/>
      </w:r>
      <w:r>
        <w:rPr>
          <w:color w:val="auto"/>
          <w:highlight w:val="none"/>
        </w:rPr>
        <w:instrText xml:space="preserve"> PAGEREF _Toc8724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"_Toc30123" </w:instrText>
      </w:r>
      <w:r>
        <w:rPr>
          <w:color w:val="auto"/>
          <w:highlight w:val="none"/>
        </w:rPr>
        <w:fldChar w:fldCharType="separate"/>
      </w:r>
      <w:r>
        <w:rPr>
          <w:color w:val="auto"/>
          <w:highlight w:val="none"/>
        </w:rPr>
        <w:t xml:space="preserve">11. </w:t>
      </w:r>
      <w:r>
        <w:rPr>
          <w:rFonts w:hint="eastAsia"/>
          <w:color w:val="auto"/>
          <w:highlight w:val="none"/>
        </w:rPr>
        <w:t>开工和竣工</w:t>
      </w:r>
      <w:r>
        <w:rPr>
          <w:color w:val="auto"/>
          <w:highlight w:val="none"/>
        </w:rPr>
        <w:tab/>
      </w:r>
      <w:r>
        <w:rPr>
          <w:color w:val="auto"/>
          <w:highlight w:val="none"/>
        </w:rPr>
        <w:fldChar w:fldCharType="begin"/>
      </w:r>
      <w:r>
        <w:rPr>
          <w:color w:val="auto"/>
          <w:highlight w:val="none"/>
        </w:rPr>
        <w:instrText xml:space="preserve"> PAGEREF _Toc30123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"_Toc30261" </w:instrText>
      </w:r>
      <w:r>
        <w:rPr>
          <w:color w:val="auto"/>
          <w:highlight w:val="none"/>
        </w:rPr>
        <w:fldChar w:fldCharType="separate"/>
      </w:r>
      <w:r>
        <w:rPr>
          <w:color w:val="auto"/>
          <w:highlight w:val="none"/>
        </w:rPr>
        <w:t xml:space="preserve">12. </w:t>
      </w:r>
      <w:r>
        <w:rPr>
          <w:rFonts w:hint="eastAsia"/>
          <w:color w:val="auto"/>
          <w:highlight w:val="none"/>
        </w:rPr>
        <w:t>暂停施工</w:t>
      </w:r>
      <w:r>
        <w:rPr>
          <w:color w:val="auto"/>
          <w:highlight w:val="none"/>
        </w:rPr>
        <w:tab/>
      </w:r>
      <w:r>
        <w:rPr>
          <w:color w:val="auto"/>
          <w:highlight w:val="none"/>
        </w:rPr>
        <w:fldChar w:fldCharType="begin"/>
      </w:r>
      <w:r>
        <w:rPr>
          <w:color w:val="auto"/>
          <w:highlight w:val="none"/>
        </w:rPr>
        <w:instrText xml:space="preserve"> PAGEREF _Toc30261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"_Toc15705" </w:instrText>
      </w:r>
      <w:r>
        <w:rPr>
          <w:color w:val="auto"/>
          <w:highlight w:val="none"/>
        </w:rPr>
        <w:fldChar w:fldCharType="separate"/>
      </w:r>
      <w:r>
        <w:rPr>
          <w:color w:val="auto"/>
          <w:highlight w:val="none"/>
        </w:rPr>
        <w:t xml:space="preserve">13. </w:t>
      </w:r>
      <w:r>
        <w:rPr>
          <w:rFonts w:hint="eastAsia"/>
          <w:color w:val="auto"/>
          <w:highlight w:val="none"/>
        </w:rPr>
        <w:t>工程质量</w:t>
      </w:r>
      <w:r>
        <w:rPr>
          <w:color w:val="auto"/>
          <w:highlight w:val="none"/>
        </w:rPr>
        <w:tab/>
      </w:r>
      <w:r>
        <w:rPr>
          <w:color w:val="auto"/>
          <w:highlight w:val="none"/>
        </w:rPr>
        <w:fldChar w:fldCharType="begin"/>
      </w:r>
      <w:r>
        <w:rPr>
          <w:color w:val="auto"/>
          <w:highlight w:val="none"/>
        </w:rPr>
        <w:instrText xml:space="preserve"> PAGEREF _Toc15705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"_Toc7572" </w:instrText>
      </w:r>
      <w:r>
        <w:rPr>
          <w:color w:val="auto"/>
          <w:highlight w:val="none"/>
        </w:rPr>
        <w:fldChar w:fldCharType="separate"/>
      </w:r>
      <w:r>
        <w:rPr>
          <w:color w:val="auto"/>
          <w:highlight w:val="none"/>
        </w:rPr>
        <w:t xml:space="preserve">14. </w:t>
      </w:r>
      <w:r>
        <w:rPr>
          <w:rFonts w:hint="eastAsia"/>
          <w:color w:val="auto"/>
          <w:highlight w:val="none"/>
        </w:rPr>
        <w:t>试验和检验</w:t>
      </w:r>
      <w:r>
        <w:rPr>
          <w:color w:val="auto"/>
          <w:highlight w:val="none"/>
        </w:rPr>
        <w:tab/>
      </w:r>
      <w:r>
        <w:rPr>
          <w:color w:val="auto"/>
          <w:highlight w:val="none"/>
        </w:rPr>
        <w:fldChar w:fldCharType="begin"/>
      </w:r>
      <w:r>
        <w:rPr>
          <w:color w:val="auto"/>
          <w:highlight w:val="none"/>
        </w:rPr>
        <w:instrText xml:space="preserve"> PAGEREF _Toc7572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"_Toc27680" </w:instrText>
      </w:r>
      <w:r>
        <w:rPr>
          <w:color w:val="auto"/>
          <w:highlight w:val="none"/>
        </w:rPr>
        <w:fldChar w:fldCharType="separate"/>
      </w:r>
      <w:r>
        <w:rPr>
          <w:color w:val="auto"/>
          <w:highlight w:val="none"/>
        </w:rPr>
        <w:t xml:space="preserve">15. </w:t>
      </w:r>
      <w:r>
        <w:rPr>
          <w:rFonts w:hint="eastAsia"/>
          <w:color w:val="auto"/>
          <w:highlight w:val="none"/>
        </w:rPr>
        <w:t>变更</w:t>
      </w:r>
      <w:r>
        <w:rPr>
          <w:color w:val="auto"/>
          <w:highlight w:val="none"/>
        </w:rPr>
        <w:tab/>
      </w:r>
      <w:r>
        <w:rPr>
          <w:color w:val="auto"/>
          <w:highlight w:val="none"/>
        </w:rPr>
        <w:fldChar w:fldCharType="begin"/>
      </w:r>
      <w:r>
        <w:rPr>
          <w:color w:val="auto"/>
          <w:highlight w:val="none"/>
        </w:rPr>
        <w:instrText xml:space="preserve"> PAGEREF _Toc27680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"_Toc16949" </w:instrText>
      </w:r>
      <w:r>
        <w:rPr>
          <w:color w:val="auto"/>
          <w:highlight w:val="none"/>
        </w:rPr>
        <w:fldChar w:fldCharType="separate"/>
      </w:r>
      <w:r>
        <w:rPr>
          <w:color w:val="auto"/>
          <w:highlight w:val="none"/>
        </w:rPr>
        <w:t xml:space="preserve">16. </w:t>
      </w:r>
      <w:r>
        <w:rPr>
          <w:rFonts w:hint="eastAsia"/>
          <w:color w:val="auto"/>
          <w:highlight w:val="none"/>
        </w:rPr>
        <w:t>价格调整</w:t>
      </w:r>
      <w:r>
        <w:rPr>
          <w:color w:val="auto"/>
          <w:highlight w:val="none"/>
        </w:rPr>
        <w:tab/>
      </w:r>
      <w:r>
        <w:rPr>
          <w:color w:val="auto"/>
          <w:highlight w:val="none"/>
        </w:rPr>
        <w:fldChar w:fldCharType="begin"/>
      </w:r>
      <w:r>
        <w:rPr>
          <w:color w:val="auto"/>
          <w:highlight w:val="none"/>
        </w:rPr>
        <w:instrText xml:space="preserve"> PAGEREF _Toc16949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"_Toc3196" </w:instrText>
      </w:r>
      <w:r>
        <w:rPr>
          <w:color w:val="auto"/>
          <w:highlight w:val="none"/>
        </w:rPr>
        <w:fldChar w:fldCharType="separate"/>
      </w:r>
      <w:r>
        <w:rPr>
          <w:color w:val="auto"/>
          <w:highlight w:val="none"/>
        </w:rPr>
        <w:t xml:space="preserve">17. </w:t>
      </w:r>
      <w:r>
        <w:rPr>
          <w:rFonts w:hint="eastAsia"/>
          <w:color w:val="auto"/>
          <w:highlight w:val="none"/>
        </w:rPr>
        <w:t>计量与支付</w:t>
      </w:r>
      <w:r>
        <w:rPr>
          <w:color w:val="auto"/>
          <w:highlight w:val="none"/>
        </w:rPr>
        <w:tab/>
      </w:r>
      <w:r>
        <w:rPr>
          <w:color w:val="auto"/>
          <w:highlight w:val="none"/>
        </w:rPr>
        <w:fldChar w:fldCharType="begin"/>
      </w:r>
      <w:r>
        <w:rPr>
          <w:color w:val="auto"/>
          <w:highlight w:val="none"/>
        </w:rPr>
        <w:instrText xml:space="preserve"> PAGEREF _Toc3196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"_Toc21253" </w:instrText>
      </w:r>
      <w:r>
        <w:rPr>
          <w:color w:val="auto"/>
          <w:highlight w:val="none"/>
        </w:rPr>
        <w:fldChar w:fldCharType="separate"/>
      </w:r>
      <w:r>
        <w:rPr>
          <w:color w:val="auto"/>
          <w:highlight w:val="none"/>
        </w:rPr>
        <w:t xml:space="preserve">18. </w:t>
      </w:r>
      <w:r>
        <w:rPr>
          <w:rFonts w:hint="eastAsia"/>
          <w:color w:val="auto"/>
          <w:highlight w:val="none"/>
        </w:rPr>
        <w:t>竣工验收</w:t>
      </w:r>
      <w:r>
        <w:rPr>
          <w:color w:val="auto"/>
          <w:highlight w:val="none"/>
        </w:rPr>
        <w:tab/>
      </w:r>
      <w:r>
        <w:rPr>
          <w:color w:val="auto"/>
          <w:highlight w:val="none"/>
        </w:rPr>
        <w:fldChar w:fldCharType="begin"/>
      </w:r>
      <w:r>
        <w:rPr>
          <w:color w:val="auto"/>
          <w:highlight w:val="none"/>
        </w:rPr>
        <w:instrText xml:space="preserve"> PAGEREF _Toc21253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"_Toc11902" </w:instrText>
      </w:r>
      <w:r>
        <w:rPr>
          <w:color w:val="auto"/>
          <w:highlight w:val="none"/>
        </w:rPr>
        <w:fldChar w:fldCharType="separate"/>
      </w:r>
      <w:r>
        <w:rPr>
          <w:color w:val="auto"/>
          <w:highlight w:val="none"/>
        </w:rPr>
        <w:t xml:space="preserve">19. </w:t>
      </w:r>
      <w:r>
        <w:rPr>
          <w:rFonts w:hint="eastAsia"/>
          <w:color w:val="auto"/>
          <w:highlight w:val="none"/>
        </w:rPr>
        <w:t>缺陷责任</w:t>
      </w:r>
      <w:r>
        <w:rPr>
          <w:color w:val="auto"/>
          <w:highlight w:val="none"/>
        </w:rPr>
        <w:tab/>
      </w:r>
      <w:r>
        <w:rPr>
          <w:color w:val="auto"/>
          <w:highlight w:val="none"/>
        </w:rPr>
        <w:fldChar w:fldCharType="begin"/>
      </w:r>
      <w:r>
        <w:rPr>
          <w:color w:val="auto"/>
          <w:highlight w:val="none"/>
        </w:rPr>
        <w:instrText xml:space="preserve"> PAGEREF _Toc11902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"_Toc28994" </w:instrText>
      </w:r>
      <w:r>
        <w:rPr>
          <w:color w:val="auto"/>
          <w:highlight w:val="none"/>
        </w:rPr>
        <w:fldChar w:fldCharType="separate"/>
      </w:r>
      <w:r>
        <w:rPr>
          <w:color w:val="auto"/>
          <w:highlight w:val="none"/>
        </w:rPr>
        <w:t xml:space="preserve">20. </w:t>
      </w:r>
      <w:r>
        <w:rPr>
          <w:rFonts w:hint="eastAsia"/>
          <w:color w:val="auto"/>
          <w:highlight w:val="none"/>
        </w:rPr>
        <w:t>保险</w:t>
      </w:r>
      <w:r>
        <w:rPr>
          <w:color w:val="auto"/>
          <w:highlight w:val="none"/>
        </w:rPr>
        <w:tab/>
      </w:r>
      <w:r>
        <w:rPr>
          <w:color w:val="auto"/>
          <w:highlight w:val="none"/>
        </w:rPr>
        <w:fldChar w:fldCharType="begin"/>
      </w:r>
      <w:r>
        <w:rPr>
          <w:color w:val="auto"/>
          <w:highlight w:val="none"/>
        </w:rPr>
        <w:instrText xml:space="preserve"> PAGEREF _Toc28994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"_Toc16923" </w:instrText>
      </w:r>
      <w:r>
        <w:rPr>
          <w:color w:val="auto"/>
          <w:highlight w:val="none"/>
        </w:rPr>
        <w:fldChar w:fldCharType="separate"/>
      </w:r>
      <w:r>
        <w:rPr>
          <w:color w:val="auto"/>
          <w:highlight w:val="none"/>
        </w:rPr>
        <w:t xml:space="preserve">21. </w:t>
      </w:r>
      <w:r>
        <w:rPr>
          <w:rFonts w:hint="eastAsia"/>
          <w:color w:val="auto"/>
          <w:highlight w:val="none"/>
        </w:rPr>
        <w:t>不可抗力</w:t>
      </w:r>
      <w:r>
        <w:rPr>
          <w:color w:val="auto"/>
          <w:highlight w:val="none"/>
        </w:rPr>
        <w:tab/>
      </w:r>
      <w:r>
        <w:rPr>
          <w:color w:val="auto"/>
          <w:highlight w:val="none"/>
        </w:rPr>
        <w:fldChar w:fldCharType="begin"/>
      </w:r>
      <w:r>
        <w:rPr>
          <w:color w:val="auto"/>
          <w:highlight w:val="none"/>
        </w:rPr>
        <w:instrText xml:space="preserve"> PAGEREF _Toc16923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"_Toc31252" </w:instrText>
      </w:r>
      <w:r>
        <w:rPr>
          <w:color w:val="auto"/>
          <w:highlight w:val="none"/>
        </w:rPr>
        <w:fldChar w:fldCharType="separate"/>
      </w:r>
      <w:r>
        <w:rPr>
          <w:color w:val="auto"/>
          <w:highlight w:val="none"/>
        </w:rPr>
        <w:t xml:space="preserve">22. </w:t>
      </w:r>
      <w:r>
        <w:rPr>
          <w:rFonts w:hint="eastAsia"/>
          <w:color w:val="auto"/>
          <w:highlight w:val="none"/>
        </w:rPr>
        <w:t>违约</w:t>
      </w:r>
      <w:r>
        <w:rPr>
          <w:color w:val="auto"/>
          <w:highlight w:val="none"/>
        </w:rPr>
        <w:tab/>
      </w:r>
      <w:r>
        <w:rPr>
          <w:color w:val="auto"/>
          <w:highlight w:val="none"/>
        </w:rPr>
        <w:fldChar w:fldCharType="begin"/>
      </w:r>
      <w:r>
        <w:rPr>
          <w:color w:val="auto"/>
          <w:highlight w:val="none"/>
        </w:rPr>
        <w:instrText xml:space="preserve"> PAGEREF _Toc31252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30"/>
        <w:tabs>
          <w:tab w:val="right" w:leader="dot" w:pos="9528"/>
          <w:tab w:val="clear" w:pos="735"/>
          <w:tab w:val="clear" w:pos="9518"/>
        </w:tabs>
        <w:rPr>
          <w:color w:val="auto"/>
          <w:highlight w:val="none"/>
        </w:rPr>
      </w:pPr>
      <w:r>
        <w:rPr>
          <w:color w:val="auto"/>
          <w:highlight w:val="none"/>
        </w:rPr>
        <w:fldChar w:fldCharType="begin"/>
      </w:r>
      <w:r>
        <w:rPr>
          <w:color w:val="auto"/>
          <w:highlight w:val="none"/>
        </w:rPr>
        <w:instrText xml:space="preserve"> HYPERLINK \l "_Toc12499" </w:instrText>
      </w:r>
      <w:r>
        <w:rPr>
          <w:color w:val="auto"/>
          <w:highlight w:val="none"/>
        </w:rPr>
        <w:fldChar w:fldCharType="separate"/>
      </w:r>
      <w:r>
        <w:rPr>
          <w:color w:val="auto"/>
          <w:highlight w:val="none"/>
        </w:rPr>
        <w:t xml:space="preserve">23. </w:t>
      </w:r>
      <w:r>
        <w:rPr>
          <w:rFonts w:hint="eastAsia"/>
          <w:color w:val="auto"/>
          <w:highlight w:val="none"/>
        </w:rPr>
        <w:t>争议的解决</w:t>
      </w:r>
      <w:r>
        <w:rPr>
          <w:color w:val="auto"/>
          <w:highlight w:val="none"/>
        </w:rPr>
        <w:tab/>
      </w:r>
      <w:r>
        <w:rPr>
          <w:color w:val="auto"/>
          <w:highlight w:val="none"/>
        </w:rPr>
        <w:fldChar w:fldCharType="begin"/>
      </w:r>
      <w:r>
        <w:rPr>
          <w:color w:val="auto"/>
          <w:highlight w:val="none"/>
        </w:rPr>
        <w:instrText xml:space="preserve"> PAGEREF _Toc12499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adjustRightInd w:val="0"/>
        <w:snapToGrid w:val="0"/>
        <w:spacing w:line="360" w:lineRule="auto"/>
        <w:rPr>
          <w:rFonts w:ascii="宋体" w:hAnsi="宋体"/>
          <w:color w:val="auto"/>
          <w:highlight w:val="none"/>
        </w:rPr>
      </w:pPr>
      <w:r>
        <w:rPr>
          <w:rFonts w:ascii="宋体" w:hAnsi="宋体"/>
          <w:color w:val="auto"/>
          <w:highlight w:val="none"/>
        </w:rPr>
        <w:fldChar w:fldCharType="end"/>
      </w:r>
    </w:p>
    <w:p>
      <w:pPr>
        <w:adjustRightInd w:val="0"/>
        <w:snapToGrid w:val="0"/>
        <w:spacing w:line="360" w:lineRule="auto"/>
        <w:rPr>
          <w:rFonts w:ascii="宋体" w:hAnsi="宋体"/>
          <w:color w:val="auto"/>
          <w:highlight w:val="none"/>
        </w:rPr>
      </w:pPr>
    </w:p>
    <w:p>
      <w:pPr>
        <w:adjustRightInd w:val="0"/>
        <w:snapToGrid w:val="0"/>
        <w:spacing w:line="360" w:lineRule="auto"/>
        <w:rPr>
          <w:rFonts w:ascii="宋体" w:hAnsi="宋体"/>
          <w:color w:val="auto"/>
          <w:highlight w:val="none"/>
        </w:rPr>
      </w:pPr>
    </w:p>
    <w:p>
      <w:pPr>
        <w:adjustRightInd w:val="0"/>
        <w:snapToGrid w:val="0"/>
        <w:spacing w:line="360" w:lineRule="auto"/>
        <w:rPr>
          <w:rFonts w:ascii="宋体" w:hAnsi="宋体"/>
          <w:color w:val="auto"/>
          <w:highlight w:val="none"/>
        </w:rPr>
        <w:sectPr>
          <w:headerReference r:id="rId6" w:type="first"/>
          <w:footerReference r:id="rId9" w:type="first"/>
          <w:headerReference r:id="rId4" w:type="default"/>
          <w:footerReference r:id="rId7" w:type="default"/>
          <w:headerReference r:id="rId5" w:type="even"/>
          <w:footerReference r:id="rId8" w:type="even"/>
          <w:pgSz w:w="11909" w:h="16834"/>
          <w:pgMar w:top="1418" w:right="1134" w:bottom="1418" w:left="1247" w:header="851" w:footer="851" w:gutter="0"/>
          <w:cols w:space="720" w:num="1"/>
          <w:titlePg/>
          <w:docGrid w:type="lines" w:linePitch="312" w:charSpace="0"/>
        </w:sectPr>
      </w:pPr>
    </w:p>
    <w:p>
      <w:pPr>
        <w:pStyle w:val="5"/>
        <w:numPr>
          <w:ilvl w:val="0"/>
          <w:numId w:val="42"/>
        </w:numPr>
        <w:spacing w:before="156" w:beforeLines="50"/>
        <w:ind w:left="0" w:firstLine="562" w:firstLineChars="200"/>
        <w:rPr>
          <w:color w:val="auto"/>
          <w:highlight w:val="none"/>
        </w:rPr>
      </w:pPr>
      <w:bookmarkStart w:id="223" w:name="_Toc33448398"/>
      <w:bookmarkStart w:id="224" w:name="_Toc33446071"/>
      <w:bookmarkStart w:id="225" w:name="_Toc350865565"/>
      <w:bookmarkStart w:id="226" w:name="_Toc427331236"/>
      <w:bookmarkStart w:id="227" w:name="_Toc33445893"/>
      <w:bookmarkStart w:id="228" w:name="_Toc33445968"/>
      <w:bookmarkStart w:id="229" w:name="_Toc33448469"/>
      <w:bookmarkStart w:id="230" w:name="_Toc29480"/>
      <w:bookmarkStart w:id="231" w:name="_Toc350865203"/>
      <w:bookmarkStart w:id="232" w:name="_Toc33092181"/>
      <w:bookmarkStart w:id="233" w:name="_Toc133502193"/>
      <w:bookmarkStart w:id="234" w:name="p3"/>
      <w:r>
        <w:rPr>
          <w:rFonts w:hint="eastAsia"/>
          <w:color w:val="auto"/>
          <w:highlight w:val="none"/>
        </w:rPr>
        <w:t>一般约定</w:t>
      </w:r>
      <w:bookmarkEnd w:id="223"/>
      <w:bookmarkEnd w:id="224"/>
      <w:bookmarkEnd w:id="225"/>
      <w:bookmarkEnd w:id="226"/>
      <w:bookmarkEnd w:id="227"/>
      <w:bookmarkEnd w:id="228"/>
      <w:bookmarkEnd w:id="229"/>
      <w:bookmarkEnd w:id="230"/>
      <w:bookmarkEnd w:id="231"/>
      <w:bookmarkEnd w:id="232"/>
      <w:bookmarkEnd w:id="233"/>
    </w:p>
    <w:p>
      <w:pPr>
        <w:pStyle w:val="6"/>
        <w:rPr>
          <w:color w:val="auto"/>
          <w:highlight w:val="none"/>
        </w:rPr>
      </w:pPr>
      <w:r>
        <w:rPr>
          <w:rFonts w:hint="eastAsia"/>
          <w:color w:val="auto"/>
          <w:highlight w:val="none"/>
        </w:rPr>
        <w:t>1.1合同当事人和人员</w:t>
      </w:r>
    </w:p>
    <w:p>
      <w:pPr>
        <w:pStyle w:val="8"/>
        <w:numPr>
          <w:ilvl w:val="0"/>
          <w:numId w:val="0"/>
        </w:numPr>
        <w:ind w:firstLine="420" w:firstLineChars="200"/>
        <w:rPr>
          <w:color w:val="auto"/>
          <w:highlight w:val="none"/>
          <w:u w:val="single"/>
        </w:rPr>
      </w:pPr>
      <w:r>
        <w:rPr>
          <w:rFonts w:hint="eastAsia"/>
          <w:color w:val="auto"/>
          <w:highlight w:val="none"/>
        </w:rPr>
        <w:t>1.1.1总承包人：</w:t>
      </w:r>
      <w:r>
        <w:rPr>
          <w:rFonts w:hint="eastAsia"/>
          <w:color w:val="auto"/>
          <w:highlight w:val="none"/>
          <w:u w:val="single"/>
        </w:rPr>
        <w:t xml:space="preserve">                       </w:t>
      </w:r>
      <w:r>
        <w:rPr>
          <w:rFonts w:hint="eastAsia"/>
          <w:color w:val="auto"/>
          <w:highlight w:val="none"/>
        </w:rPr>
        <w:t>。</w:t>
      </w:r>
    </w:p>
    <w:p>
      <w:pPr>
        <w:pStyle w:val="6"/>
        <w:rPr>
          <w:color w:val="auto"/>
          <w:highlight w:val="none"/>
        </w:rPr>
      </w:pPr>
      <w:r>
        <w:rPr>
          <w:rFonts w:hint="eastAsia"/>
          <w:color w:val="auto"/>
          <w:highlight w:val="none"/>
        </w:rPr>
        <w:t>1.2.语言文字</w:t>
      </w:r>
    </w:p>
    <w:p>
      <w:pPr>
        <w:pStyle w:val="7"/>
        <w:numPr>
          <w:ilvl w:val="2"/>
          <w:numId w:val="0"/>
        </w:numPr>
        <w:ind w:firstLine="420" w:firstLineChars="200"/>
        <w:rPr>
          <w:color w:val="auto"/>
          <w:highlight w:val="none"/>
        </w:rPr>
      </w:pPr>
      <w:r>
        <w:rPr>
          <w:rFonts w:hint="eastAsia"/>
          <w:color w:val="auto"/>
          <w:highlight w:val="none"/>
        </w:rPr>
        <w:t>1.2.1.本</w:t>
      </w:r>
      <w:r>
        <w:rPr>
          <w:rFonts w:hint="eastAsia" w:hAnsi="宋体"/>
          <w:color w:val="auto"/>
          <w:highlight w:val="none"/>
        </w:rPr>
        <w:t>合同</w:t>
      </w:r>
      <w:r>
        <w:rPr>
          <w:rFonts w:hint="eastAsia"/>
          <w:color w:val="auto"/>
          <w:highlight w:val="none"/>
        </w:rPr>
        <w:t>除使用汉语外，还使用</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语言文字。</w:t>
      </w:r>
    </w:p>
    <w:p>
      <w:pPr>
        <w:pStyle w:val="6"/>
        <w:rPr>
          <w:color w:val="auto"/>
          <w:highlight w:val="none"/>
        </w:rPr>
      </w:pPr>
      <w:r>
        <w:rPr>
          <w:rFonts w:hint="eastAsia"/>
          <w:color w:val="auto"/>
          <w:highlight w:val="none"/>
        </w:rPr>
        <w:t>1.3.适用法律、标准及规范</w:t>
      </w:r>
    </w:p>
    <w:p>
      <w:pPr>
        <w:pStyle w:val="7"/>
        <w:numPr>
          <w:ilvl w:val="2"/>
          <w:numId w:val="0"/>
        </w:numPr>
        <w:ind w:firstLine="420" w:firstLineChars="200"/>
        <w:rPr>
          <w:rFonts w:hAnsi="宋体"/>
          <w:color w:val="auto"/>
          <w:highlight w:val="none"/>
          <w:u w:val="single"/>
        </w:rPr>
      </w:pPr>
      <w:r>
        <w:rPr>
          <w:rFonts w:hint="eastAsia" w:hAnsi="宋体"/>
          <w:color w:val="auto"/>
          <w:highlight w:val="none"/>
        </w:rPr>
        <w:t>1.3.1.本合同需要特别明示所适用的法律、行政法规有：</w:t>
      </w:r>
      <w:r>
        <w:rPr>
          <w:rFonts w:hint="eastAsia"/>
          <w:color w:val="auto"/>
          <w:highlight w:val="none"/>
          <w:u w:val="single"/>
        </w:rPr>
        <w:t xml:space="preserve">  </w:t>
      </w:r>
      <w:r>
        <w:rPr>
          <w:rFonts w:hint="eastAsia" w:hAnsi="宋体"/>
          <w:color w:val="auto"/>
          <w:highlight w:val="none"/>
          <w:u w:val="single"/>
        </w:rPr>
        <w:t>无</w:t>
      </w:r>
      <w:r>
        <w:rPr>
          <w:rFonts w:hint="eastAsia"/>
          <w:color w:val="auto"/>
          <w:highlight w:val="none"/>
          <w:u w:val="single"/>
        </w:rPr>
        <w:t xml:space="preserve">   </w:t>
      </w:r>
      <w:r>
        <w:rPr>
          <w:rFonts w:hint="eastAsia"/>
          <w:color w:val="auto"/>
          <w:highlight w:val="none"/>
        </w:rPr>
        <w:t>。</w:t>
      </w:r>
    </w:p>
    <w:p>
      <w:pPr>
        <w:pStyle w:val="7"/>
        <w:numPr>
          <w:ilvl w:val="2"/>
          <w:numId w:val="0"/>
        </w:numPr>
        <w:ind w:firstLine="420" w:firstLineChars="200"/>
        <w:rPr>
          <w:rFonts w:hAnsi="宋体"/>
          <w:color w:val="auto"/>
          <w:highlight w:val="none"/>
        </w:rPr>
      </w:pPr>
      <w:r>
        <w:rPr>
          <w:rFonts w:hint="eastAsia" w:hAnsi="宋体"/>
          <w:color w:val="auto"/>
          <w:highlight w:val="none"/>
        </w:rPr>
        <w:t xml:space="preserve">1.3.2.本合同适用的标准、规范为中华人民共和国现行的有关工程建设与施工的技术标准与规范，包括但不限于：《建筑工程施工与验收规范》、《城市绿化工程施工与验收规范》及发包人在本合同中约定的有关技术标准要求等。 </w:t>
      </w:r>
    </w:p>
    <w:p>
      <w:pPr>
        <w:pStyle w:val="7"/>
        <w:numPr>
          <w:ilvl w:val="2"/>
          <w:numId w:val="0"/>
        </w:numPr>
        <w:ind w:firstLine="420" w:firstLineChars="200"/>
        <w:rPr>
          <w:rFonts w:hAnsi="宋体"/>
          <w:color w:val="auto"/>
          <w:highlight w:val="none"/>
          <w:u w:val="single"/>
        </w:rPr>
      </w:pPr>
      <w:r>
        <w:rPr>
          <w:rFonts w:hint="eastAsia" w:hAnsi="宋体"/>
          <w:color w:val="auto"/>
          <w:highlight w:val="none"/>
        </w:rPr>
        <w:t>1.3.3.发包人提供的标准、规范：</w:t>
      </w:r>
      <w:r>
        <w:rPr>
          <w:rFonts w:hint="eastAsia" w:hAnsi="宋体"/>
          <w:color w:val="auto"/>
          <w:highlight w:val="none"/>
          <w:u w:val="single"/>
        </w:rPr>
        <w:t xml:space="preserve">                       </w:t>
      </w:r>
    </w:p>
    <w:p>
      <w:pPr>
        <w:pStyle w:val="6"/>
        <w:rPr>
          <w:color w:val="auto"/>
          <w:highlight w:val="none"/>
        </w:rPr>
      </w:pPr>
      <w:r>
        <w:rPr>
          <w:rFonts w:hint="eastAsia"/>
          <w:color w:val="auto"/>
          <w:highlight w:val="none"/>
        </w:rPr>
        <w:t>1.4. 图纸和承包人文件,</w:t>
      </w:r>
    </w:p>
    <w:p>
      <w:pPr>
        <w:pStyle w:val="7"/>
        <w:numPr>
          <w:ilvl w:val="2"/>
          <w:numId w:val="0"/>
        </w:numPr>
        <w:ind w:firstLine="420" w:firstLineChars="200"/>
        <w:rPr>
          <w:rFonts w:hAnsi="宋体"/>
          <w:color w:val="auto"/>
          <w:highlight w:val="none"/>
        </w:rPr>
      </w:pPr>
      <w:r>
        <w:rPr>
          <w:rFonts w:hint="eastAsia" w:hAnsi="宋体"/>
          <w:color w:val="auto"/>
          <w:highlight w:val="none"/>
        </w:rPr>
        <w:t>1.4.1. 发包人提供的图纸</w:t>
      </w:r>
    </w:p>
    <w:p>
      <w:pPr>
        <w:pStyle w:val="8"/>
        <w:numPr>
          <w:ilvl w:val="0"/>
          <w:numId w:val="0"/>
        </w:numPr>
        <w:ind w:firstLine="420" w:firstLineChars="200"/>
        <w:rPr>
          <w:color w:val="auto"/>
          <w:highlight w:val="none"/>
        </w:rPr>
      </w:pPr>
      <w:r>
        <w:rPr>
          <w:rFonts w:hint="eastAsia"/>
          <w:color w:val="auto"/>
          <w:highlight w:val="none"/>
        </w:rPr>
        <w:t>1）发包人在工程开工前向承包人提供完整的施工图纸一式</w:t>
      </w:r>
      <w:r>
        <w:rPr>
          <w:color w:val="auto"/>
          <w:highlight w:val="none"/>
          <w:u w:val="single"/>
        </w:rPr>
        <w:t xml:space="preserve"> </w:t>
      </w:r>
      <w:r>
        <w:rPr>
          <w:rFonts w:hint="eastAsia"/>
          <w:color w:val="auto"/>
          <w:highlight w:val="none"/>
          <w:u w:val="single"/>
        </w:rPr>
        <w:t>肆</w:t>
      </w:r>
      <w:r>
        <w:rPr>
          <w:color w:val="auto"/>
          <w:highlight w:val="none"/>
          <w:u w:val="single"/>
        </w:rPr>
        <w:t xml:space="preserve"> </w:t>
      </w:r>
      <w:r>
        <w:rPr>
          <w:rFonts w:hint="eastAsia"/>
          <w:color w:val="auto"/>
          <w:highlight w:val="none"/>
        </w:rPr>
        <w:t>份。</w:t>
      </w:r>
    </w:p>
    <w:p>
      <w:pPr>
        <w:pStyle w:val="7"/>
        <w:numPr>
          <w:ilvl w:val="2"/>
          <w:numId w:val="0"/>
        </w:numPr>
        <w:ind w:firstLine="420" w:firstLineChars="200"/>
        <w:rPr>
          <w:rFonts w:hAnsi="宋体"/>
          <w:color w:val="auto"/>
          <w:highlight w:val="none"/>
        </w:rPr>
      </w:pPr>
      <w:r>
        <w:rPr>
          <w:rFonts w:hint="eastAsia" w:hAnsi="宋体"/>
          <w:color w:val="auto"/>
          <w:highlight w:val="none"/>
        </w:rPr>
        <w:t>1.4.2. 承包人提供的图纸</w:t>
      </w:r>
    </w:p>
    <w:p>
      <w:pPr>
        <w:pStyle w:val="8"/>
        <w:numPr>
          <w:ilvl w:val="0"/>
          <w:numId w:val="0"/>
        </w:numPr>
        <w:ind w:firstLine="420" w:firstLineChars="200"/>
        <w:rPr>
          <w:color w:val="auto"/>
          <w:highlight w:val="none"/>
        </w:rPr>
      </w:pPr>
      <w:r>
        <w:rPr>
          <w:rFonts w:hint="eastAsia"/>
          <w:color w:val="auto"/>
          <w:highlight w:val="none"/>
        </w:rPr>
        <w:t>1）需承包人提交的深化设计（优化设计）图纸有：</w:t>
      </w:r>
      <w:r>
        <w:rPr>
          <w:color w:val="auto"/>
          <w:highlight w:val="none"/>
          <w:u w:val="single"/>
        </w:rPr>
        <w:t xml:space="preserve"> 按发包人要求 </w:t>
      </w:r>
      <w:r>
        <w:rPr>
          <w:rFonts w:hint="eastAsia"/>
          <w:color w:val="auto"/>
          <w:highlight w:val="none"/>
        </w:rPr>
        <w:t>。</w:t>
      </w:r>
    </w:p>
    <w:p>
      <w:pPr>
        <w:tabs>
          <w:tab w:val="left" w:pos="851"/>
          <w:tab w:val="left" w:pos="993"/>
        </w:tabs>
        <w:adjustRightInd w:val="0"/>
        <w:snapToGrid w:val="0"/>
        <w:spacing w:line="360" w:lineRule="auto"/>
        <w:ind w:firstLine="420" w:firstLineChars="200"/>
        <w:rPr>
          <w:rFonts w:ascii="宋体" w:hAnsi="宋体"/>
          <w:color w:val="auto"/>
          <w:highlight w:val="none"/>
          <w:u w:val="single"/>
        </w:rPr>
      </w:pPr>
      <w:r>
        <w:rPr>
          <w:rFonts w:hint="eastAsia" w:ascii="宋体" w:hAnsi="宋体"/>
          <w:color w:val="auto"/>
          <w:highlight w:val="none"/>
        </w:rPr>
        <w:t>提交的时间为：</w:t>
      </w:r>
      <w:r>
        <w:rPr>
          <w:rFonts w:hint="eastAsia"/>
          <w:color w:val="auto"/>
          <w:highlight w:val="none"/>
          <w:u w:val="single"/>
        </w:rPr>
        <w:t xml:space="preserve">     按发包人要求    </w:t>
      </w:r>
      <w:r>
        <w:rPr>
          <w:rFonts w:hint="eastAsia"/>
          <w:color w:val="auto"/>
          <w:highlight w:val="none"/>
        </w:rPr>
        <w:t>。</w:t>
      </w:r>
    </w:p>
    <w:p>
      <w:pPr>
        <w:tabs>
          <w:tab w:val="left" w:pos="851"/>
          <w:tab w:val="left" w:pos="993"/>
        </w:tabs>
        <w:adjustRightInd w:val="0"/>
        <w:snapToGrid w:val="0"/>
        <w:spacing w:line="360" w:lineRule="auto"/>
        <w:ind w:firstLine="420" w:firstLineChars="200"/>
        <w:rPr>
          <w:b/>
          <w:color w:val="auto"/>
          <w:szCs w:val="28"/>
          <w:highlight w:val="none"/>
          <w:u w:val="single"/>
        </w:rPr>
      </w:pPr>
      <w:r>
        <w:rPr>
          <w:rFonts w:hint="eastAsia" w:ascii="宋体" w:hAnsi="宋体"/>
          <w:color w:val="auto"/>
          <w:highlight w:val="none"/>
        </w:rPr>
        <w:t>提交的数量为：</w:t>
      </w:r>
      <w:r>
        <w:rPr>
          <w:rFonts w:hint="eastAsia"/>
          <w:color w:val="auto"/>
          <w:highlight w:val="none"/>
          <w:u w:val="single"/>
        </w:rPr>
        <w:t xml:space="preserve">     按发包人要求    </w:t>
      </w:r>
      <w:r>
        <w:rPr>
          <w:rFonts w:hint="eastAsia"/>
          <w:color w:val="auto"/>
          <w:highlight w:val="none"/>
        </w:rPr>
        <w:t>。</w:t>
      </w:r>
      <w:r>
        <w:rPr>
          <w:rFonts w:hint="eastAsia"/>
          <w:b/>
          <w:color w:val="auto"/>
          <w:highlight w:val="none"/>
        </w:rPr>
        <w:t xml:space="preserve">   </w:t>
      </w:r>
    </w:p>
    <w:p>
      <w:pPr>
        <w:pStyle w:val="8"/>
        <w:numPr>
          <w:ilvl w:val="0"/>
          <w:numId w:val="0"/>
        </w:numPr>
        <w:ind w:left="704" w:hanging="284"/>
        <w:rPr>
          <w:color w:val="auto"/>
          <w:highlight w:val="none"/>
        </w:rPr>
      </w:pPr>
      <w:r>
        <w:rPr>
          <w:rFonts w:hint="eastAsia"/>
          <w:color w:val="auto"/>
          <w:highlight w:val="none"/>
        </w:rPr>
        <w:t>2）承包人提供的竣工图的份数：</w:t>
      </w:r>
      <w:r>
        <w:rPr>
          <w:rFonts w:hint="eastAsia"/>
          <w:color w:val="auto"/>
          <w:highlight w:val="none"/>
          <w:u w:val="single"/>
        </w:rPr>
        <w:t>竣工图纸壹式肆份及相应的电子磁盘资料肆套</w:t>
      </w:r>
      <w:r>
        <w:rPr>
          <w:rFonts w:hint="eastAsia"/>
          <w:color w:val="auto"/>
          <w:highlight w:val="none"/>
        </w:rPr>
        <w:t>。</w:t>
      </w:r>
    </w:p>
    <w:p>
      <w:pPr>
        <w:pStyle w:val="8"/>
        <w:numPr>
          <w:ilvl w:val="0"/>
          <w:numId w:val="0"/>
        </w:numPr>
        <w:ind w:left="704" w:hanging="284"/>
        <w:rPr>
          <w:color w:val="auto"/>
          <w:highlight w:val="none"/>
        </w:rPr>
      </w:pPr>
      <w:r>
        <w:rPr>
          <w:rFonts w:hint="eastAsia"/>
          <w:color w:val="auto"/>
          <w:highlight w:val="none"/>
        </w:rPr>
        <w:t>3）其他需承包人提供的图纸及其要求：</w:t>
      </w:r>
      <w:r>
        <w:rPr>
          <w:rFonts w:hint="eastAsia"/>
          <w:color w:val="auto"/>
          <w:highlight w:val="none"/>
          <w:u w:val="single"/>
        </w:rPr>
        <w:t xml:space="preserve">  无   </w:t>
      </w:r>
      <w:r>
        <w:rPr>
          <w:rFonts w:hint="eastAsia"/>
          <w:color w:val="auto"/>
          <w:highlight w:val="none"/>
        </w:rPr>
        <w:t>。</w:t>
      </w:r>
    </w:p>
    <w:p>
      <w:pPr>
        <w:pStyle w:val="5"/>
        <w:numPr>
          <w:ilvl w:val="0"/>
          <w:numId w:val="42"/>
        </w:numPr>
        <w:spacing w:before="156" w:beforeLines="50"/>
        <w:ind w:left="0" w:firstLine="562" w:firstLineChars="200"/>
        <w:rPr>
          <w:color w:val="auto"/>
          <w:highlight w:val="none"/>
        </w:rPr>
      </w:pPr>
      <w:bookmarkStart w:id="235" w:name="_Toc427331237"/>
      <w:bookmarkStart w:id="236" w:name="_Toc33445894"/>
      <w:bookmarkStart w:id="237" w:name="_Toc21472"/>
      <w:bookmarkStart w:id="238" w:name="_Toc350865204"/>
      <w:bookmarkStart w:id="239" w:name="_Toc33092182"/>
      <w:bookmarkStart w:id="240" w:name="_Toc33448399"/>
      <w:bookmarkStart w:id="241" w:name="_Toc33448470"/>
      <w:bookmarkStart w:id="242" w:name="_Toc350865566"/>
      <w:bookmarkStart w:id="243" w:name="_Toc133502194"/>
      <w:bookmarkStart w:id="244" w:name="_Toc33446072"/>
      <w:bookmarkStart w:id="245" w:name="_Toc33445969"/>
      <w:r>
        <w:rPr>
          <w:rFonts w:hint="eastAsia"/>
          <w:color w:val="auto"/>
          <w:highlight w:val="none"/>
        </w:rPr>
        <w:t>发包人</w:t>
      </w:r>
      <w:bookmarkEnd w:id="235"/>
      <w:bookmarkEnd w:id="236"/>
      <w:bookmarkEnd w:id="237"/>
      <w:bookmarkEnd w:id="238"/>
      <w:bookmarkEnd w:id="239"/>
      <w:bookmarkEnd w:id="240"/>
      <w:bookmarkEnd w:id="241"/>
      <w:bookmarkEnd w:id="242"/>
      <w:bookmarkEnd w:id="243"/>
      <w:bookmarkEnd w:id="244"/>
      <w:bookmarkEnd w:id="245"/>
    </w:p>
    <w:p>
      <w:pPr>
        <w:pStyle w:val="6"/>
        <w:numPr>
          <w:ilvl w:val="1"/>
          <w:numId w:val="0"/>
        </w:numPr>
        <w:ind w:firstLine="422" w:firstLineChars="200"/>
        <w:rPr>
          <w:color w:val="auto"/>
          <w:highlight w:val="none"/>
        </w:rPr>
      </w:pPr>
      <w:r>
        <w:rPr>
          <w:rFonts w:hint="eastAsia"/>
          <w:color w:val="auto"/>
          <w:highlight w:val="none"/>
        </w:rPr>
        <w:t>2.1. 发包人代表</w:t>
      </w:r>
    </w:p>
    <w:p>
      <w:pPr>
        <w:pStyle w:val="7"/>
        <w:numPr>
          <w:ilvl w:val="2"/>
          <w:numId w:val="0"/>
        </w:numPr>
        <w:ind w:firstLine="420" w:firstLineChars="200"/>
        <w:rPr>
          <w:rFonts w:hAnsi="宋体"/>
          <w:color w:val="auto"/>
          <w:highlight w:val="none"/>
        </w:rPr>
      </w:pPr>
      <w:r>
        <w:rPr>
          <w:rFonts w:hint="eastAsia" w:hAnsi="宋体"/>
          <w:color w:val="auto"/>
          <w:highlight w:val="none"/>
        </w:rPr>
        <w:t>2.1.1. 发包人代表的姓名：</w:t>
      </w:r>
      <w:r>
        <w:rPr>
          <w:rFonts w:hint="eastAsia" w:hAnsi="宋体"/>
          <w:color w:val="auto"/>
          <w:highlight w:val="none"/>
          <w:u w:val="single"/>
        </w:rPr>
        <w:t xml:space="preserve">      </w:t>
      </w:r>
      <w:r>
        <w:rPr>
          <w:rFonts w:hint="eastAsia" w:hAnsi="宋体"/>
          <w:color w:val="auto"/>
          <w:highlight w:val="none"/>
        </w:rPr>
        <w:t>，职务：</w:t>
      </w:r>
      <w:r>
        <w:rPr>
          <w:rFonts w:hAnsi="宋体"/>
          <w:color w:val="auto"/>
          <w:highlight w:val="none"/>
          <w:u w:val="single"/>
        </w:rPr>
        <w:t xml:space="preserve"> </w:t>
      </w:r>
      <w:r>
        <w:rPr>
          <w:rFonts w:hint="eastAsia" w:hAnsi="宋体"/>
          <w:color w:val="auto"/>
          <w:highlight w:val="none"/>
          <w:u w:val="single"/>
        </w:rPr>
        <w:t xml:space="preserve">      </w:t>
      </w:r>
      <w:r>
        <w:rPr>
          <w:rFonts w:hint="eastAsia"/>
          <w:color w:val="auto"/>
          <w:highlight w:val="none"/>
          <w:u w:val="single"/>
        </w:rPr>
        <w:t xml:space="preserve"> </w:t>
      </w:r>
      <w:r>
        <w:rPr>
          <w:rFonts w:hint="eastAsia" w:hAnsi="宋体"/>
          <w:color w:val="auto"/>
          <w:highlight w:val="none"/>
        </w:rPr>
        <w:t>，联系电话：</w:t>
      </w:r>
      <w:r>
        <w:rPr>
          <w:rFonts w:hint="eastAsia"/>
          <w:color w:val="auto"/>
          <w:highlight w:val="none"/>
          <w:u w:val="single"/>
        </w:rPr>
        <w:t xml:space="preserve">      </w:t>
      </w:r>
      <w:r>
        <w:rPr>
          <w:rFonts w:hint="eastAsia"/>
          <w:color w:val="auto"/>
          <w:highlight w:val="none"/>
        </w:rPr>
        <w:t>。</w:t>
      </w:r>
    </w:p>
    <w:p>
      <w:pPr>
        <w:pStyle w:val="7"/>
        <w:numPr>
          <w:ilvl w:val="2"/>
          <w:numId w:val="0"/>
        </w:numPr>
        <w:ind w:firstLine="420" w:firstLineChars="200"/>
        <w:rPr>
          <w:rFonts w:hAnsi="宋体"/>
          <w:color w:val="auto"/>
          <w:highlight w:val="none"/>
          <w:u w:val="single"/>
        </w:rPr>
      </w:pPr>
      <w:r>
        <w:rPr>
          <w:rFonts w:hint="eastAsia" w:hAnsi="宋体"/>
          <w:color w:val="auto"/>
          <w:highlight w:val="none"/>
        </w:rPr>
        <w:t>2.1.2. 发包人赋予发包人代表的其他权限：</w:t>
      </w:r>
      <w:r>
        <w:rPr>
          <w:rFonts w:hint="eastAsia"/>
          <w:color w:val="auto"/>
          <w:highlight w:val="none"/>
          <w:u w:val="single"/>
        </w:rPr>
        <w:t xml:space="preserve">  无 </w:t>
      </w:r>
      <w:r>
        <w:rPr>
          <w:rFonts w:hint="eastAsia"/>
          <w:color w:val="auto"/>
          <w:highlight w:val="none"/>
        </w:rPr>
        <w:t>。</w:t>
      </w:r>
    </w:p>
    <w:p>
      <w:pPr>
        <w:pStyle w:val="6"/>
        <w:numPr>
          <w:ilvl w:val="1"/>
          <w:numId w:val="0"/>
        </w:numPr>
        <w:ind w:firstLine="422" w:firstLineChars="200"/>
        <w:rPr>
          <w:color w:val="auto"/>
          <w:highlight w:val="none"/>
        </w:rPr>
      </w:pPr>
      <w:r>
        <w:rPr>
          <w:rFonts w:hint="eastAsia"/>
          <w:color w:val="auto"/>
          <w:highlight w:val="none"/>
        </w:rPr>
        <w:t>2.2. 发包人一般权利义务</w:t>
      </w:r>
    </w:p>
    <w:p>
      <w:pPr>
        <w:pStyle w:val="7"/>
        <w:numPr>
          <w:ilvl w:val="2"/>
          <w:numId w:val="0"/>
        </w:numPr>
        <w:ind w:firstLine="420" w:firstLineChars="200"/>
        <w:rPr>
          <w:rFonts w:hAnsi="宋体"/>
          <w:color w:val="auto"/>
          <w:highlight w:val="none"/>
        </w:rPr>
      </w:pPr>
      <w:r>
        <w:rPr>
          <w:rFonts w:hint="eastAsia" w:hAnsi="宋体"/>
          <w:color w:val="auto"/>
          <w:highlight w:val="none"/>
        </w:rPr>
        <w:t>2.2.1. 发包人完成以下工作：</w:t>
      </w:r>
    </w:p>
    <w:p>
      <w:pPr>
        <w:pStyle w:val="8"/>
        <w:numPr>
          <w:ilvl w:val="0"/>
          <w:numId w:val="0"/>
        </w:numPr>
        <w:ind w:firstLine="420"/>
        <w:rPr>
          <w:color w:val="auto"/>
          <w:highlight w:val="none"/>
        </w:rPr>
      </w:pPr>
      <w:r>
        <w:rPr>
          <w:rFonts w:hint="eastAsia"/>
          <w:color w:val="auto"/>
          <w:highlight w:val="none"/>
        </w:rPr>
        <w:t>1）设计交底后，承包人应当继续审查相关图纸中可能存在的不符合法律规定、适用标准、施工规范的任何错误、冲突，并在</w:t>
      </w:r>
      <w:r>
        <w:rPr>
          <w:rFonts w:hint="eastAsia"/>
          <w:color w:val="auto"/>
          <w:highlight w:val="none"/>
          <w:u w:val="single"/>
        </w:rPr>
        <w:t xml:space="preserve"> </w:t>
      </w:r>
      <w:r>
        <w:rPr>
          <w:color w:val="auto"/>
          <w:highlight w:val="none"/>
          <w:u w:val="single"/>
        </w:rPr>
        <w:t>5</w:t>
      </w:r>
      <w:r>
        <w:rPr>
          <w:rFonts w:hint="eastAsia"/>
          <w:color w:val="auto"/>
          <w:highlight w:val="none"/>
        </w:rPr>
        <w:t>天内以书面方式报发包人及监理人。</w:t>
      </w:r>
    </w:p>
    <w:p>
      <w:pPr>
        <w:spacing w:line="360" w:lineRule="auto"/>
        <w:ind w:firstLine="420" w:firstLineChars="200"/>
        <w:rPr>
          <w:rFonts w:hAnsi="宋体"/>
          <w:color w:val="auto"/>
          <w:highlight w:val="none"/>
          <w:u w:val="single"/>
        </w:rPr>
      </w:pPr>
      <w:r>
        <w:rPr>
          <w:rFonts w:hint="eastAsia"/>
          <w:color w:val="auto"/>
          <w:highlight w:val="none"/>
        </w:rPr>
        <w:t>2）其他由发包人完成的工作：</w:t>
      </w:r>
    </w:p>
    <w:p>
      <w:pPr>
        <w:spacing w:line="360" w:lineRule="auto"/>
        <w:ind w:firstLine="420" w:firstLineChars="200"/>
        <w:rPr>
          <w:rFonts w:hAnsi="宋体"/>
          <w:color w:val="auto"/>
          <w:highlight w:val="none"/>
          <w:u w:val="single"/>
        </w:rPr>
      </w:pPr>
      <w:r>
        <w:rPr>
          <w:rFonts w:hint="eastAsia" w:hAnsi="宋体"/>
          <w:color w:val="auto"/>
          <w:highlight w:val="none"/>
          <w:u w:val="single"/>
        </w:rPr>
        <w:t>承包人进场后，发包人提供水平控制点，进行现场交验。</w:t>
      </w:r>
    </w:p>
    <w:p>
      <w:pPr>
        <w:spacing w:line="360" w:lineRule="auto"/>
        <w:ind w:firstLine="420" w:firstLineChars="200"/>
        <w:rPr>
          <w:rFonts w:hAnsi="宋体"/>
          <w:color w:val="auto"/>
          <w:highlight w:val="none"/>
          <w:u w:val="single"/>
        </w:rPr>
      </w:pPr>
      <w:r>
        <w:rPr>
          <w:rFonts w:hint="eastAsia" w:hAnsi="宋体"/>
          <w:color w:val="auto"/>
          <w:highlight w:val="none"/>
          <w:u w:val="single"/>
        </w:rPr>
        <w:t>承包人进场后，向承包人提供施工场地的工程地质和地上（下）管线资料。承包人对地上（下）管线负有保护责任，如因承包人原因造成损坏，由承包人负责维修并承担费用。</w:t>
      </w:r>
    </w:p>
    <w:p>
      <w:pPr>
        <w:spacing w:line="360" w:lineRule="auto"/>
        <w:ind w:firstLine="420" w:firstLineChars="200"/>
        <w:rPr>
          <w:rFonts w:hAnsi="宋体"/>
          <w:color w:val="auto"/>
          <w:highlight w:val="none"/>
          <w:u w:val="single"/>
        </w:rPr>
      </w:pPr>
      <w:r>
        <w:rPr>
          <w:rFonts w:hint="eastAsia" w:hAnsi="宋体"/>
          <w:color w:val="auto"/>
          <w:highlight w:val="none"/>
          <w:u w:val="single"/>
        </w:rPr>
        <w:t>发包人不保证满足承包人对本工程场地内材料存放与加工布置全部需求，承包人应当妥善、统筹安排好材料存放与加工布置，所连带发生相关费用由承包人自行承担。</w:t>
      </w:r>
    </w:p>
    <w:p>
      <w:pPr>
        <w:pStyle w:val="7"/>
        <w:numPr>
          <w:ilvl w:val="2"/>
          <w:numId w:val="0"/>
        </w:numPr>
        <w:ind w:firstLine="420" w:firstLineChars="200"/>
        <w:rPr>
          <w:color w:val="auto"/>
          <w:highlight w:val="none"/>
        </w:rPr>
      </w:pPr>
      <w:r>
        <w:rPr>
          <w:rFonts w:hint="eastAsia"/>
          <w:color w:val="auto"/>
          <w:highlight w:val="none"/>
        </w:rPr>
        <w:t>2.2.2. 施工所需水、电、电讯线路说明：</w:t>
      </w:r>
    </w:p>
    <w:p>
      <w:pPr>
        <w:adjustRightInd w:val="0"/>
        <w:snapToGrid w:val="0"/>
        <w:spacing w:line="360" w:lineRule="auto"/>
        <w:ind w:firstLine="420" w:firstLineChars="200"/>
        <w:rPr>
          <w:color w:val="auto"/>
          <w:highlight w:val="none"/>
        </w:rPr>
      </w:pPr>
      <w:r>
        <w:rPr>
          <w:rFonts w:hint="eastAsia"/>
          <w:color w:val="auto"/>
          <w:highlight w:val="none"/>
        </w:rPr>
        <w:t>1）关于施工所需水、电的具体约定：</w:t>
      </w:r>
      <w:r>
        <w:rPr>
          <w:rFonts w:hint="eastAsia"/>
          <w:color w:val="auto"/>
          <w:highlight w:val="none"/>
          <w:u w:val="single"/>
        </w:rPr>
        <w:t xml:space="preserve">                                  </w:t>
      </w:r>
      <w:r>
        <w:rPr>
          <w:rFonts w:hint="eastAsia"/>
          <w:color w:val="auto"/>
          <w:highlight w:val="none"/>
        </w:rPr>
        <w:t>。</w:t>
      </w:r>
    </w:p>
    <w:p>
      <w:pPr>
        <w:pStyle w:val="7"/>
        <w:numPr>
          <w:ilvl w:val="2"/>
          <w:numId w:val="0"/>
        </w:numPr>
        <w:ind w:firstLine="420" w:firstLineChars="200"/>
        <w:rPr>
          <w:rFonts w:hAnsi="宋体"/>
          <w:color w:val="auto"/>
          <w:highlight w:val="none"/>
        </w:rPr>
      </w:pPr>
      <w:r>
        <w:rPr>
          <w:rFonts w:hint="eastAsia" w:hAnsi="宋体"/>
          <w:color w:val="auto"/>
          <w:highlight w:val="none"/>
        </w:rPr>
        <w:t>2.2.3. 发包人委托承包人办理的其他工作：</w:t>
      </w:r>
    </w:p>
    <w:p>
      <w:pPr>
        <w:spacing w:line="360" w:lineRule="auto"/>
        <w:ind w:firstLine="420" w:firstLineChars="200"/>
        <w:rPr>
          <w:rFonts w:hAnsi="宋体"/>
          <w:color w:val="auto"/>
          <w:highlight w:val="none"/>
        </w:rPr>
      </w:pPr>
      <w:r>
        <w:rPr>
          <w:rFonts w:hint="eastAsia" w:hAnsi="宋体"/>
          <w:color w:val="auto"/>
          <w:highlight w:val="none"/>
        </w:rPr>
        <w:t>（1）本项目除桩基检测、土壤氡检测、超前钻、人防面积测绘、基坑监测、地铁监测由发包人自行委托 ，其余均由承包人承担且已经包含在本合同价款内（包括但不限于：需提供检测所需的材料并承担材料及材料损耗及检测配合的相关费用）；</w:t>
      </w:r>
    </w:p>
    <w:p>
      <w:pPr>
        <w:spacing w:line="360" w:lineRule="auto"/>
        <w:ind w:firstLine="420" w:firstLineChars="200"/>
        <w:rPr>
          <w:rFonts w:hAnsi="宋体"/>
          <w:b/>
          <w:color w:val="auto"/>
          <w:highlight w:val="none"/>
        </w:rPr>
      </w:pPr>
      <w:r>
        <w:rPr>
          <w:rFonts w:hint="eastAsia" w:hAnsi="宋体"/>
          <w:color w:val="auto"/>
          <w:highlight w:val="none"/>
        </w:rPr>
        <w:t>（2）纳入总承包人的管理。</w:t>
      </w:r>
      <w:r>
        <w:rPr>
          <w:rFonts w:hint="eastAsia"/>
          <w:color w:val="auto"/>
          <w:highlight w:val="none"/>
        </w:rPr>
        <w:t xml:space="preserve"> </w:t>
      </w:r>
    </w:p>
    <w:p>
      <w:pPr>
        <w:pStyle w:val="5"/>
        <w:numPr>
          <w:ilvl w:val="0"/>
          <w:numId w:val="42"/>
        </w:numPr>
        <w:spacing w:before="156" w:beforeLines="50"/>
        <w:ind w:left="0" w:firstLine="562" w:firstLineChars="200"/>
        <w:rPr>
          <w:color w:val="auto"/>
          <w:highlight w:val="none"/>
        </w:rPr>
      </w:pPr>
      <w:bookmarkStart w:id="246" w:name="_Toc350865567"/>
      <w:bookmarkStart w:id="247" w:name="_Toc33445895"/>
      <w:bookmarkStart w:id="248" w:name="_Toc33448400"/>
      <w:bookmarkStart w:id="249" w:name="_Toc30803"/>
      <w:bookmarkStart w:id="250" w:name="_Toc33092183"/>
      <w:bookmarkStart w:id="251" w:name="_Toc33445970"/>
      <w:bookmarkStart w:id="252" w:name="_Toc33446073"/>
      <w:bookmarkStart w:id="253" w:name="_Toc133502195"/>
      <w:bookmarkStart w:id="254" w:name="_Toc427331238"/>
      <w:bookmarkStart w:id="255" w:name="_Toc33448471"/>
      <w:bookmarkStart w:id="256" w:name="_Toc350865205"/>
      <w:r>
        <w:rPr>
          <w:rFonts w:hint="eastAsia"/>
          <w:color w:val="auto"/>
          <w:highlight w:val="none"/>
        </w:rPr>
        <w:t>监理人及造价咨询人</w:t>
      </w:r>
      <w:bookmarkEnd w:id="246"/>
      <w:bookmarkEnd w:id="247"/>
      <w:bookmarkEnd w:id="248"/>
      <w:bookmarkEnd w:id="249"/>
      <w:bookmarkEnd w:id="250"/>
      <w:bookmarkEnd w:id="251"/>
      <w:bookmarkEnd w:id="252"/>
      <w:bookmarkEnd w:id="253"/>
      <w:bookmarkEnd w:id="254"/>
      <w:bookmarkEnd w:id="255"/>
      <w:bookmarkEnd w:id="256"/>
    </w:p>
    <w:p>
      <w:pPr>
        <w:pStyle w:val="6"/>
        <w:numPr>
          <w:ilvl w:val="1"/>
          <w:numId w:val="0"/>
        </w:numPr>
        <w:ind w:firstLine="422" w:firstLineChars="200"/>
        <w:rPr>
          <w:color w:val="auto"/>
          <w:highlight w:val="none"/>
        </w:rPr>
      </w:pPr>
      <w:r>
        <w:rPr>
          <w:rFonts w:hint="eastAsia"/>
          <w:color w:val="auto"/>
          <w:highlight w:val="none"/>
        </w:rPr>
        <w:t>3.1. 监理人</w:t>
      </w:r>
    </w:p>
    <w:p>
      <w:pPr>
        <w:pStyle w:val="7"/>
        <w:numPr>
          <w:ilvl w:val="2"/>
          <w:numId w:val="0"/>
        </w:numPr>
        <w:ind w:firstLine="420" w:firstLineChars="200"/>
        <w:rPr>
          <w:rFonts w:hAnsi="宋体"/>
          <w:color w:val="auto"/>
          <w:highlight w:val="none"/>
        </w:rPr>
      </w:pPr>
      <w:r>
        <w:rPr>
          <w:rFonts w:hint="eastAsia" w:hAnsi="宋体"/>
          <w:color w:val="auto"/>
          <w:highlight w:val="none"/>
        </w:rPr>
        <w:t>3.1.1. 总监理工程师的姓名：</w:t>
      </w:r>
      <w:r>
        <w:rPr>
          <w:rFonts w:hint="eastAsia"/>
          <w:color w:val="auto"/>
          <w:highlight w:val="none"/>
          <w:u w:val="single"/>
        </w:rPr>
        <w:t xml:space="preserve">      </w:t>
      </w:r>
      <w:r>
        <w:rPr>
          <w:rFonts w:hint="eastAsia" w:hAnsi="宋体"/>
          <w:color w:val="auto"/>
          <w:highlight w:val="none"/>
        </w:rPr>
        <w:t>，职务：</w:t>
      </w:r>
      <w:r>
        <w:rPr>
          <w:rFonts w:hint="eastAsia"/>
          <w:color w:val="auto"/>
          <w:highlight w:val="none"/>
          <w:u w:val="single"/>
        </w:rPr>
        <w:t xml:space="preserve">      </w:t>
      </w:r>
      <w:r>
        <w:rPr>
          <w:rFonts w:hint="eastAsia" w:hAnsi="宋体"/>
          <w:color w:val="auto"/>
          <w:highlight w:val="none"/>
        </w:rPr>
        <w:t>，联系电话：</w:t>
      </w:r>
      <w:r>
        <w:rPr>
          <w:rFonts w:hint="eastAsia"/>
          <w:color w:val="auto"/>
          <w:highlight w:val="none"/>
          <w:u w:val="single"/>
        </w:rPr>
        <w:t xml:space="preserve">        </w:t>
      </w:r>
      <w:r>
        <w:rPr>
          <w:rFonts w:hint="eastAsia"/>
          <w:color w:val="auto"/>
          <w:highlight w:val="none"/>
        </w:rPr>
        <w:t>。</w:t>
      </w:r>
    </w:p>
    <w:p>
      <w:pPr>
        <w:pStyle w:val="7"/>
        <w:numPr>
          <w:ilvl w:val="2"/>
          <w:numId w:val="0"/>
        </w:numPr>
        <w:ind w:firstLine="420" w:firstLineChars="200"/>
        <w:rPr>
          <w:rFonts w:hAnsi="宋体"/>
          <w:color w:val="auto"/>
          <w:highlight w:val="none"/>
          <w:u w:val="single"/>
        </w:rPr>
      </w:pPr>
      <w:r>
        <w:rPr>
          <w:rFonts w:hint="eastAsia" w:hAnsi="宋体"/>
          <w:color w:val="auto"/>
          <w:highlight w:val="none"/>
        </w:rPr>
        <w:t>3.1.2. 发包人另行委托的职权：</w:t>
      </w:r>
      <w:r>
        <w:rPr>
          <w:rFonts w:hint="eastAsia"/>
          <w:color w:val="auto"/>
          <w:highlight w:val="none"/>
          <w:u w:val="single"/>
        </w:rPr>
        <w:t xml:space="preserve">  </w:t>
      </w:r>
      <w:r>
        <w:rPr>
          <w:rFonts w:hint="eastAsia" w:hAnsi="宋体"/>
          <w:color w:val="auto"/>
          <w:highlight w:val="none"/>
          <w:u w:val="single"/>
        </w:rPr>
        <w:t>无</w:t>
      </w:r>
      <w:r>
        <w:rPr>
          <w:rFonts w:hint="eastAsia"/>
          <w:color w:val="auto"/>
          <w:highlight w:val="none"/>
          <w:u w:val="single"/>
        </w:rPr>
        <w:t xml:space="preserve">  </w:t>
      </w:r>
      <w:r>
        <w:rPr>
          <w:rFonts w:hint="eastAsia"/>
          <w:color w:val="auto"/>
          <w:highlight w:val="none"/>
        </w:rPr>
        <w:t>。</w:t>
      </w:r>
    </w:p>
    <w:p>
      <w:pPr>
        <w:pStyle w:val="7"/>
        <w:numPr>
          <w:ilvl w:val="2"/>
          <w:numId w:val="0"/>
        </w:numPr>
        <w:ind w:firstLine="420" w:firstLineChars="200"/>
        <w:rPr>
          <w:rFonts w:hAnsi="宋体"/>
          <w:color w:val="auto"/>
          <w:highlight w:val="none"/>
        </w:rPr>
      </w:pPr>
      <w:r>
        <w:rPr>
          <w:rFonts w:hint="eastAsia" w:hAnsi="宋体"/>
          <w:color w:val="auto"/>
          <w:highlight w:val="none"/>
        </w:rPr>
        <w:t>3.1.3. 监理人需要取得发包人批准才能行使的其他职权为：</w:t>
      </w:r>
      <w:r>
        <w:rPr>
          <w:rFonts w:hint="eastAsia"/>
          <w:color w:val="auto"/>
          <w:highlight w:val="none"/>
          <w:u w:val="single"/>
        </w:rPr>
        <w:t xml:space="preserve">  </w:t>
      </w:r>
      <w:r>
        <w:rPr>
          <w:rFonts w:hint="eastAsia" w:hAnsi="宋体"/>
          <w:color w:val="auto"/>
          <w:highlight w:val="none"/>
          <w:u w:val="single"/>
        </w:rPr>
        <w:t xml:space="preserve">无 </w:t>
      </w:r>
      <w:r>
        <w:rPr>
          <w:rFonts w:hint="eastAsia"/>
          <w:color w:val="auto"/>
          <w:highlight w:val="none"/>
        </w:rPr>
        <w:t>。</w:t>
      </w:r>
    </w:p>
    <w:p>
      <w:pPr>
        <w:pStyle w:val="6"/>
        <w:numPr>
          <w:ilvl w:val="1"/>
          <w:numId w:val="0"/>
        </w:numPr>
        <w:ind w:firstLine="422" w:firstLineChars="200"/>
        <w:rPr>
          <w:color w:val="auto"/>
          <w:highlight w:val="none"/>
        </w:rPr>
      </w:pPr>
      <w:r>
        <w:rPr>
          <w:rFonts w:hint="eastAsia"/>
          <w:color w:val="auto"/>
          <w:highlight w:val="none"/>
        </w:rPr>
        <w:t>3.2. 造价咨询人</w:t>
      </w:r>
    </w:p>
    <w:p>
      <w:pPr>
        <w:pStyle w:val="7"/>
        <w:numPr>
          <w:ilvl w:val="2"/>
          <w:numId w:val="0"/>
        </w:numPr>
        <w:ind w:firstLine="420" w:firstLineChars="200"/>
        <w:rPr>
          <w:rFonts w:hAnsi="宋体"/>
          <w:color w:val="auto"/>
          <w:highlight w:val="none"/>
        </w:rPr>
      </w:pPr>
      <w:r>
        <w:rPr>
          <w:rFonts w:hint="eastAsia" w:hAnsi="宋体"/>
          <w:color w:val="auto"/>
          <w:highlight w:val="none"/>
        </w:rPr>
        <w:t>3.2.1. 造价咨询人单位名称：</w:t>
      </w:r>
      <w:r>
        <w:rPr>
          <w:rFonts w:hint="eastAsia"/>
          <w:color w:val="auto"/>
          <w:highlight w:val="none"/>
          <w:u w:val="single"/>
        </w:rPr>
        <w:t xml:space="preserve">                     </w:t>
      </w:r>
      <w:r>
        <w:rPr>
          <w:rFonts w:hint="eastAsia"/>
          <w:color w:val="auto"/>
          <w:highlight w:val="none"/>
        </w:rPr>
        <w:t>。</w:t>
      </w:r>
    </w:p>
    <w:p>
      <w:pPr>
        <w:pStyle w:val="7"/>
        <w:numPr>
          <w:ilvl w:val="2"/>
          <w:numId w:val="0"/>
        </w:numPr>
        <w:ind w:firstLine="420" w:firstLineChars="200"/>
        <w:rPr>
          <w:rFonts w:hAnsi="宋体"/>
          <w:color w:val="auto"/>
          <w:highlight w:val="none"/>
          <w:u w:val="single"/>
        </w:rPr>
      </w:pPr>
      <w:r>
        <w:rPr>
          <w:rFonts w:hint="eastAsia" w:hAnsi="宋体"/>
          <w:color w:val="auto"/>
          <w:highlight w:val="none"/>
        </w:rPr>
        <w:t>3.2.2. 发包人委托的职权：</w:t>
      </w:r>
      <w:r>
        <w:rPr>
          <w:rFonts w:hint="eastAsia"/>
          <w:color w:val="auto"/>
          <w:highlight w:val="none"/>
          <w:u w:val="single"/>
        </w:rPr>
        <w:t xml:space="preserve"> </w:t>
      </w:r>
      <w:r>
        <w:rPr>
          <w:rFonts w:hint="eastAsia" w:hAnsi="宋体"/>
          <w:color w:val="auto"/>
          <w:highlight w:val="none"/>
          <w:u w:val="single"/>
        </w:rPr>
        <w:t>配合发包人对承包人的造价文件进行审核</w:t>
      </w:r>
      <w:r>
        <w:rPr>
          <w:rFonts w:hint="eastAsia"/>
          <w:color w:val="auto"/>
          <w:highlight w:val="none"/>
        </w:rPr>
        <w:t>。</w:t>
      </w:r>
    </w:p>
    <w:p>
      <w:pPr>
        <w:pStyle w:val="5"/>
        <w:numPr>
          <w:ilvl w:val="0"/>
          <w:numId w:val="42"/>
        </w:numPr>
        <w:spacing w:before="156" w:beforeLines="50"/>
        <w:ind w:left="0" w:firstLine="562" w:firstLineChars="200"/>
        <w:rPr>
          <w:color w:val="auto"/>
          <w:highlight w:val="none"/>
        </w:rPr>
      </w:pPr>
      <w:bookmarkStart w:id="257" w:name="_Toc33448472"/>
      <w:bookmarkStart w:id="258" w:name="_Toc427331239"/>
      <w:bookmarkStart w:id="259" w:name="_Toc33448401"/>
      <w:bookmarkStart w:id="260" w:name="_Toc33446074"/>
      <w:bookmarkStart w:id="261" w:name="_Toc33092184"/>
      <w:bookmarkStart w:id="262" w:name="_Toc133502196"/>
      <w:bookmarkStart w:id="263" w:name="_Toc28056"/>
      <w:bookmarkStart w:id="264" w:name="_Toc33445896"/>
      <w:bookmarkStart w:id="265" w:name="_Toc33445971"/>
      <w:bookmarkStart w:id="266" w:name="_Toc350865206"/>
      <w:bookmarkStart w:id="267" w:name="_Toc350865568"/>
      <w:r>
        <w:rPr>
          <w:rFonts w:hint="eastAsia"/>
          <w:color w:val="auto"/>
          <w:highlight w:val="none"/>
        </w:rPr>
        <w:t>承包人</w:t>
      </w:r>
      <w:bookmarkEnd w:id="257"/>
      <w:bookmarkEnd w:id="258"/>
      <w:bookmarkEnd w:id="259"/>
      <w:bookmarkEnd w:id="260"/>
      <w:bookmarkEnd w:id="261"/>
      <w:bookmarkEnd w:id="262"/>
      <w:bookmarkEnd w:id="263"/>
      <w:bookmarkEnd w:id="264"/>
      <w:bookmarkEnd w:id="265"/>
      <w:bookmarkEnd w:id="266"/>
      <w:bookmarkEnd w:id="267"/>
    </w:p>
    <w:p>
      <w:pPr>
        <w:pStyle w:val="6"/>
        <w:numPr>
          <w:ilvl w:val="1"/>
          <w:numId w:val="0"/>
        </w:numPr>
        <w:ind w:firstLine="422" w:firstLineChars="200"/>
        <w:rPr>
          <w:color w:val="auto"/>
          <w:highlight w:val="none"/>
        </w:rPr>
      </w:pPr>
      <w:r>
        <w:rPr>
          <w:rFonts w:hint="eastAsia"/>
          <w:color w:val="auto"/>
          <w:highlight w:val="none"/>
        </w:rPr>
        <w:t>4.1 承包人工作</w:t>
      </w:r>
    </w:p>
    <w:p>
      <w:pPr>
        <w:pStyle w:val="7"/>
        <w:numPr>
          <w:ilvl w:val="2"/>
          <w:numId w:val="0"/>
        </w:numPr>
        <w:ind w:firstLine="420" w:firstLineChars="200"/>
        <w:rPr>
          <w:rFonts w:hAnsi="宋体"/>
          <w:color w:val="auto"/>
          <w:highlight w:val="none"/>
        </w:rPr>
      </w:pPr>
      <w:r>
        <w:rPr>
          <w:rFonts w:hint="eastAsia" w:hAnsi="宋体"/>
          <w:color w:val="auto"/>
          <w:highlight w:val="none"/>
        </w:rPr>
        <w:t>4.1.1.完成以下各项承包工作：</w:t>
      </w:r>
    </w:p>
    <w:p>
      <w:pPr>
        <w:pStyle w:val="8"/>
        <w:numPr>
          <w:ilvl w:val="0"/>
          <w:numId w:val="0"/>
        </w:numPr>
        <w:ind w:firstLine="420" w:firstLineChars="200"/>
        <w:rPr>
          <w:color w:val="auto"/>
          <w:highlight w:val="none"/>
        </w:rPr>
      </w:pPr>
      <w:r>
        <w:rPr>
          <w:rFonts w:hint="eastAsia"/>
          <w:color w:val="auto"/>
          <w:highlight w:val="none"/>
        </w:rPr>
        <w:t>1）对承包人工作的特别约定：</w:t>
      </w:r>
    </w:p>
    <w:p>
      <w:pPr>
        <w:pStyle w:val="8"/>
        <w:numPr>
          <w:ilvl w:val="0"/>
          <w:numId w:val="0"/>
        </w:numPr>
        <w:ind w:firstLine="420" w:firstLineChars="200"/>
        <w:rPr>
          <w:color w:val="auto"/>
          <w:highlight w:val="none"/>
        </w:rPr>
      </w:pPr>
      <w:r>
        <w:rPr>
          <w:rFonts w:hint="eastAsia"/>
          <w:color w:val="auto"/>
          <w:highlight w:val="none"/>
        </w:rPr>
        <w:t>a.使用项目土建工程施工及总承包管理服务单位的施工许可证，对属于本次承包范围内需要办理的相关证件，由承包人负责办理，发包人提供相应协助；</w:t>
      </w:r>
    </w:p>
    <w:p>
      <w:pPr>
        <w:pStyle w:val="8"/>
        <w:numPr>
          <w:ilvl w:val="0"/>
          <w:numId w:val="0"/>
        </w:numPr>
        <w:ind w:firstLine="420" w:firstLineChars="200"/>
        <w:rPr>
          <w:color w:val="auto"/>
          <w:highlight w:val="none"/>
        </w:rPr>
      </w:pPr>
      <w:r>
        <w:rPr>
          <w:rFonts w:hint="eastAsia"/>
          <w:color w:val="auto"/>
          <w:highlight w:val="none"/>
        </w:rPr>
        <w:t>b.与项目土建工程施工及总承包管理服务单位的交接工作；</w:t>
      </w:r>
    </w:p>
    <w:p>
      <w:pPr>
        <w:pStyle w:val="8"/>
        <w:numPr>
          <w:ilvl w:val="0"/>
          <w:numId w:val="0"/>
        </w:numPr>
        <w:ind w:firstLine="420" w:firstLineChars="200"/>
        <w:rPr>
          <w:color w:val="auto"/>
          <w:highlight w:val="none"/>
        </w:rPr>
      </w:pPr>
      <w:r>
        <w:rPr>
          <w:rFonts w:hint="eastAsia"/>
          <w:color w:val="auto"/>
          <w:highlight w:val="none"/>
        </w:rPr>
        <w:t>c. 负责配合本专业的检测工作及验收工作；</w:t>
      </w:r>
    </w:p>
    <w:p>
      <w:pPr>
        <w:pStyle w:val="8"/>
        <w:numPr>
          <w:ilvl w:val="0"/>
          <w:numId w:val="0"/>
        </w:numPr>
        <w:ind w:firstLine="420" w:firstLineChars="200"/>
        <w:rPr>
          <w:color w:val="auto"/>
          <w:highlight w:val="none"/>
        </w:rPr>
      </w:pPr>
      <w:r>
        <w:rPr>
          <w:rFonts w:hint="eastAsia"/>
          <w:color w:val="auto"/>
          <w:highlight w:val="none"/>
        </w:rPr>
        <w:t>d.负责组织图纸会审和设计交底工作，时间为合同签订后</w:t>
      </w:r>
      <w:r>
        <w:rPr>
          <w:color w:val="auto"/>
          <w:highlight w:val="none"/>
        </w:rPr>
        <w:t>5</w:t>
      </w:r>
      <w:r>
        <w:rPr>
          <w:rFonts w:hint="eastAsia"/>
          <w:color w:val="auto"/>
          <w:highlight w:val="none"/>
        </w:rPr>
        <w:t>天内；在施工图纸或施工图纸指定的标准图集里缺少的施工详图，需要由承包人进行施工详图设计时，承包人应及时提交施工详图，由发包人交设计单位审查确认，此项工作设计费用已包含在合同暂定总价内，发包人不再另行支付。否则，因提交的时间不及时造成的一切损失由承包人承担；</w:t>
      </w:r>
    </w:p>
    <w:p>
      <w:pPr>
        <w:pStyle w:val="8"/>
        <w:numPr>
          <w:ilvl w:val="0"/>
          <w:numId w:val="0"/>
        </w:numPr>
        <w:ind w:firstLine="420" w:firstLineChars="200"/>
        <w:rPr>
          <w:color w:val="auto"/>
          <w:highlight w:val="none"/>
        </w:rPr>
      </w:pPr>
      <w:r>
        <w:rPr>
          <w:rFonts w:hint="eastAsia"/>
          <w:color w:val="auto"/>
          <w:highlight w:val="none"/>
        </w:rPr>
        <w:t>e.设计交底后，承包人应当继续审查相关图纸中可能存在的不符合法律规定、适用标准、施工规范的任何错误、冲突，并在15 天内以书面方式报发包人及监理人。</w:t>
      </w:r>
    </w:p>
    <w:p>
      <w:pPr>
        <w:pStyle w:val="8"/>
        <w:numPr>
          <w:ilvl w:val="0"/>
          <w:numId w:val="0"/>
        </w:numPr>
        <w:ind w:firstLine="420" w:firstLineChars="200"/>
        <w:rPr>
          <w:color w:val="auto"/>
          <w:highlight w:val="none"/>
        </w:rPr>
      </w:pPr>
      <w:r>
        <w:rPr>
          <w:rFonts w:hint="eastAsia"/>
          <w:color w:val="auto"/>
          <w:highlight w:val="none"/>
        </w:rPr>
        <w:t xml:space="preserve">f.负责协调处理各方面关系。  </w:t>
      </w:r>
    </w:p>
    <w:p>
      <w:pPr>
        <w:pStyle w:val="8"/>
        <w:numPr>
          <w:ilvl w:val="0"/>
          <w:numId w:val="0"/>
        </w:numPr>
        <w:ind w:firstLine="420" w:firstLineChars="200"/>
        <w:rPr>
          <w:color w:val="auto"/>
          <w:highlight w:val="none"/>
        </w:rPr>
      </w:pPr>
      <w:r>
        <w:rPr>
          <w:rFonts w:hint="eastAsia"/>
          <w:color w:val="auto"/>
          <w:highlight w:val="none"/>
        </w:rPr>
        <w:t>g</w:t>
      </w:r>
      <w:r>
        <w:rPr>
          <w:color w:val="auto"/>
          <w:highlight w:val="none"/>
        </w:rPr>
        <w:t>.</w:t>
      </w:r>
      <w:r>
        <w:rPr>
          <w:rFonts w:hint="eastAsia"/>
          <w:color w:val="auto"/>
          <w:highlight w:val="none"/>
        </w:rPr>
        <w:t>每批设备材料进场，需提供经厂家确认盖章的出厂货物清单，报监理和发包人审批。</w:t>
      </w:r>
    </w:p>
    <w:p>
      <w:pPr>
        <w:pStyle w:val="8"/>
        <w:numPr>
          <w:ilvl w:val="0"/>
          <w:numId w:val="0"/>
        </w:numPr>
        <w:ind w:firstLine="420" w:firstLineChars="200"/>
        <w:rPr>
          <w:color w:val="auto"/>
          <w:highlight w:val="none"/>
        </w:rPr>
      </w:pPr>
      <w:r>
        <w:rPr>
          <w:color w:val="auto"/>
          <w:highlight w:val="none"/>
        </w:rPr>
        <w:t>h.</w:t>
      </w:r>
      <w:r>
        <w:rPr>
          <w:rFonts w:hint="eastAsia"/>
          <w:color w:val="auto"/>
          <w:highlight w:val="none"/>
        </w:rPr>
        <w:t xml:space="preserve"> 其他：              </w:t>
      </w:r>
    </w:p>
    <w:p>
      <w:pPr>
        <w:pStyle w:val="7"/>
        <w:numPr>
          <w:ilvl w:val="2"/>
          <w:numId w:val="0"/>
        </w:numPr>
        <w:ind w:firstLine="420" w:firstLineChars="200"/>
        <w:rPr>
          <w:rFonts w:hAnsi="宋体"/>
          <w:color w:val="auto"/>
          <w:highlight w:val="none"/>
        </w:rPr>
      </w:pPr>
      <w:r>
        <w:rPr>
          <w:rFonts w:hint="eastAsia" w:hAnsi="宋体"/>
          <w:color w:val="auto"/>
          <w:highlight w:val="none"/>
        </w:rPr>
        <w:t>4.1.2.负责施工场地及其周边环境与生态的保护工作</w:t>
      </w:r>
    </w:p>
    <w:p>
      <w:pPr>
        <w:adjustRightInd w:val="0"/>
        <w:snapToGrid w:val="0"/>
        <w:spacing w:line="360" w:lineRule="auto"/>
        <w:ind w:firstLine="420" w:firstLineChars="200"/>
        <w:rPr>
          <w:rFonts w:ascii="宋体" w:hAnsi="宋体"/>
          <w:snapToGrid w:val="0"/>
          <w:color w:val="auto"/>
          <w:kern w:val="0"/>
          <w:highlight w:val="none"/>
        </w:rPr>
      </w:pPr>
      <w:r>
        <w:rPr>
          <w:rFonts w:hint="eastAsia" w:ascii="宋体" w:hAnsi="宋体"/>
          <w:color w:val="auto"/>
          <w:highlight w:val="none"/>
        </w:rPr>
        <w:t>3）承包人应保证施工场地清洁符合环境卫生管理的有关要求，做到工完场清，即建筑垃圾须及时清运出场，否则发包人有权另行委托他人清理，发生的费用</w:t>
      </w:r>
      <w:r>
        <w:rPr>
          <w:rFonts w:hint="eastAsia" w:ascii="宋体" w:hAnsi="宋体"/>
          <w:snapToGrid w:val="0"/>
          <w:color w:val="auto"/>
          <w:kern w:val="0"/>
          <w:highlight w:val="none"/>
        </w:rPr>
        <w:t>由承包人双倍承担，并且承包人须向发包人承担一般违约责任。</w:t>
      </w:r>
    </w:p>
    <w:p>
      <w:pPr>
        <w:adjustRightInd w:val="0"/>
        <w:snapToGrid w:val="0"/>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4)</w:t>
      </w:r>
      <w:r>
        <w:rPr>
          <w:rFonts w:hint="eastAsia" w:ascii="宋体" w:hAnsi="宋体"/>
          <w:snapToGrid w:val="0"/>
          <w:color w:val="auto"/>
          <w:kern w:val="0"/>
          <w:highlight w:val="none"/>
        </w:rPr>
        <w:tab/>
      </w:r>
      <w:r>
        <w:rPr>
          <w:rFonts w:hint="eastAsia" w:ascii="宋体" w:hAnsi="宋体"/>
          <w:snapToGrid w:val="0"/>
          <w:color w:val="auto"/>
          <w:kern w:val="0"/>
          <w:highlight w:val="none"/>
        </w:rPr>
        <w:t>承包人应做好施工场地地下管线和邻近建筑物、构筑物（包括文物保护建筑）、苗木的保护工作。由于承包人的施工造成污染或侵损邻近建筑物、堵塞排水管网、破坏地下管线、古树名木及已完工程等影响，产生的损失由承包人承担。</w:t>
      </w:r>
    </w:p>
    <w:p>
      <w:pPr>
        <w:pStyle w:val="7"/>
        <w:numPr>
          <w:ilvl w:val="2"/>
          <w:numId w:val="0"/>
        </w:numPr>
        <w:ind w:firstLine="420" w:firstLineChars="200"/>
        <w:rPr>
          <w:rFonts w:hAnsi="宋体"/>
          <w:color w:val="auto"/>
          <w:highlight w:val="none"/>
        </w:rPr>
      </w:pPr>
      <w:r>
        <w:rPr>
          <w:rFonts w:hint="eastAsia" w:hAnsi="宋体"/>
          <w:color w:val="auto"/>
          <w:highlight w:val="none"/>
        </w:rPr>
        <w:t>4.1.3.为他人提供方便</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5）双方协议终止合同或任何一方解除合同的，承包人或其分包人的施工人员、材料、设备必须在</w:t>
      </w:r>
      <w:r>
        <w:rPr>
          <w:rFonts w:hint="eastAsia" w:ascii="宋体" w:hAnsi="宋体"/>
          <w:color w:val="auto"/>
          <w:highlight w:val="none"/>
          <w:u w:val="single"/>
        </w:rPr>
        <w:t xml:space="preserve"> 15 </w:t>
      </w:r>
      <w:r>
        <w:rPr>
          <w:rFonts w:hint="eastAsia" w:ascii="宋体" w:hAnsi="宋体"/>
          <w:color w:val="auto"/>
          <w:highlight w:val="none"/>
        </w:rPr>
        <w:t xml:space="preserve">天内全部退出现场，每延迟一天退场发包人收取承包人人民币50000元违约金。 </w:t>
      </w:r>
    </w:p>
    <w:p>
      <w:pPr>
        <w:pStyle w:val="7"/>
        <w:numPr>
          <w:ilvl w:val="2"/>
          <w:numId w:val="0"/>
        </w:numPr>
        <w:ind w:firstLine="420" w:firstLineChars="200"/>
        <w:rPr>
          <w:rFonts w:hAnsi="宋体"/>
          <w:color w:val="auto"/>
          <w:highlight w:val="none"/>
        </w:rPr>
      </w:pPr>
      <w:r>
        <w:rPr>
          <w:rFonts w:hint="eastAsia" w:hAnsi="宋体"/>
          <w:color w:val="auto"/>
          <w:highlight w:val="none"/>
        </w:rPr>
        <w:t>4.1.4. 工程的维护和照管</w:t>
      </w:r>
    </w:p>
    <w:p>
      <w:pPr>
        <w:adjustRightInd w:val="0"/>
        <w:snapToGrid w:val="0"/>
        <w:spacing w:line="360" w:lineRule="auto"/>
        <w:ind w:firstLine="420" w:firstLineChars="200"/>
        <w:rPr>
          <w:rFonts w:ascii="宋体" w:hAnsi="宋体"/>
          <w:color w:val="auto"/>
          <w:highlight w:val="none"/>
          <w:u w:val="single"/>
        </w:rPr>
      </w:pPr>
      <w:r>
        <w:rPr>
          <w:rFonts w:hint="eastAsia" w:ascii="宋体" w:hAnsi="宋体"/>
          <w:color w:val="auto"/>
          <w:highlight w:val="none"/>
        </w:rPr>
        <w:t>1）工程交付前完工工程成品保护的特殊要求及费用承担：</w:t>
      </w:r>
      <w:r>
        <w:rPr>
          <w:rFonts w:hint="eastAsia" w:ascii="宋体" w:hAnsi="宋体"/>
          <w:color w:val="auto"/>
          <w:highlight w:val="none"/>
          <w:u w:val="single"/>
        </w:rPr>
        <w:t>本合同园林绿化工程竣工验收合格及交付前，承包人负责本工程（包括发包人提供的材料和工程设备及发包人采购安放在现场的办公家具等）的照管和维护工作。保护期间发生损坏，承包人自费予以修复和整改；不能修复和整改的，发包人有权在工程款中扣除损坏部分所对应的金额。对于分包工程，承包人应督促并协助分包人做好成品保护工作。</w:t>
      </w:r>
    </w:p>
    <w:p>
      <w:pPr>
        <w:pStyle w:val="7"/>
        <w:numPr>
          <w:ilvl w:val="2"/>
          <w:numId w:val="0"/>
        </w:numPr>
        <w:ind w:firstLine="420" w:firstLineChars="200"/>
        <w:rPr>
          <w:color w:val="auto"/>
          <w:highlight w:val="none"/>
        </w:rPr>
      </w:pPr>
      <w:r>
        <w:rPr>
          <w:rFonts w:hint="eastAsia"/>
          <w:color w:val="auto"/>
          <w:highlight w:val="none"/>
        </w:rPr>
        <w:tab/>
      </w:r>
      <w:r>
        <w:rPr>
          <w:rFonts w:hint="eastAsia"/>
          <w:color w:val="auto"/>
          <w:highlight w:val="none"/>
        </w:rPr>
        <w:t>4.1.</w:t>
      </w:r>
      <w:r>
        <w:rPr>
          <w:color w:val="auto"/>
          <w:highlight w:val="none"/>
        </w:rPr>
        <w:t>9</w:t>
      </w:r>
      <w:r>
        <w:rPr>
          <w:rFonts w:hint="eastAsia"/>
          <w:color w:val="auto"/>
          <w:highlight w:val="none"/>
        </w:rPr>
        <w:t xml:space="preserve"> 承包人的其它义务</w:t>
      </w:r>
    </w:p>
    <w:p>
      <w:pPr>
        <w:adjustRightInd w:val="0"/>
        <w:snapToGrid w:val="0"/>
        <w:spacing w:line="360" w:lineRule="auto"/>
        <w:ind w:firstLine="420" w:firstLineChars="200"/>
        <w:rPr>
          <w:rFonts w:ascii="宋体" w:hAnsi="宋体"/>
          <w:snapToGrid w:val="0"/>
          <w:color w:val="auto"/>
          <w:kern w:val="0"/>
          <w:highlight w:val="none"/>
          <w:u w:val="single"/>
        </w:rPr>
      </w:pPr>
      <w:r>
        <w:rPr>
          <w:rFonts w:hint="eastAsia" w:ascii="宋体" w:hAnsi="宋体"/>
          <w:snapToGrid w:val="0"/>
          <w:color w:val="auto"/>
          <w:kern w:val="0"/>
          <w:highlight w:val="none"/>
          <w:u w:val="single"/>
        </w:rPr>
        <w:t>1）承包人违反本合同的约定，不服从发包人及监理单位的管理，对发包人、监理单位的指令和书面通知（具体形式包括但不限于设计变更通知、工程指令、现场签证、工程联系单、会议纪要等）公开或变相拒不执行的，发包人视情节严重程度有权要求承包人支付违约金人民币2000元（一般情况）或1万元（情节严重情况），并由承包人承担由此造成的一切经济损失。情节特别严重的，发包人有权单方面部分解除合同或解除合同。</w:t>
      </w:r>
    </w:p>
    <w:p>
      <w:pPr>
        <w:adjustRightInd w:val="0"/>
        <w:snapToGrid w:val="0"/>
        <w:spacing w:line="360" w:lineRule="auto"/>
        <w:ind w:firstLine="420" w:firstLineChars="200"/>
        <w:rPr>
          <w:rFonts w:ascii="宋体" w:hAnsi="宋体"/>
          <w:color w:val="auto"/>
          <w:highlight w:val="none"/>
          <w:u w:val="single"/>
        </w:rPr>
      </w:pPr>
      <w:r>
        <w:rPr>
          <w:rFonts w:hint="eastAsia" w:ascii="宋体" w:hAnsi="宋体"/>
          <w:snapToGrid w:val="0"/>
          <w:color w:val="auto"/>
          <w:kern w:val="0"/>
          <w:highlight w:val="none"/>
          <w:u w:val="single"/>
        </w:rPr>
        <w:t>2）</w:t>
      </w:r>
      <w:r>
        <w:rPr>
          <w:rFonts w:hint="eastAsia" w:ascii="宋体" w:hAnsi="宋体"/>
          <w:color w:val="auto"/>
          <w:highlight w:val="none"/>
          <w:u w:val="single"/>
        </w:rPr>
        <w:t>承包人不能拖欠工人工资。若发生拖欠，发包人有权从应付承包人的工程款中扣出先行支付，并按支付金额的30% 向承包人追究违约责任；若发生承包人施工人员或者劳务人员以非正常手段索取工程款或者聚众滋事或到党政机关、司法部门、发包人所在单位及其上级主管公司非法上访、聚众闹事、拉横幅、静坐、游行等事件的，每发生一次，承包人应向发包人承担严重违约责任。</w:t>
      </w:r>
    </w:p>
    <w:p>
      <w:pPr>
        <w:adjustRightInd w:val="0"/>
        <w:snapToGrid w:val="0"/>
        <w:spacing w:line="360" w:lineRule="auto"/>
        <w:ind w:firstLine="420" w:firstLineChars="200"/>
        <w:rPr>
          <w:rFonts w:ascii="宋体" w:hAnsi="宋体"/>
          <w:snapToGrid w:val="0"/>
          <w:color w:val="auto"/>
          <w:kern w:val="0"/>
          <w:highlight w:val="none"/>
          <w:u w:val="single"/>
        </w:rPr>
      </w:pPr>
      <w:r>
        <w:rPr>
          <w:rFonts w:hint="eastAsia" w:ascii="宋体" w:hAnsi="宋体"/>
          <w:snapToGrid w:val="0"/>
          <w:color w:val="auto"/>
          <w:kern w:val="0"/>
          <w:highlight w:val="none"/>
          <w:u w:val="single"/>
        </w:rPr>
        <w:t>6）如本合同工程出现施工进度、质量、投入不满足需要，严重影响施工现场推进或出现发包人认为必要的其他情形，发包人还有权视现场情况要求承包人法定代表人驻场办公，直至发包人同意退场为止，如承包人法定代表人不按要求驻场办公，承包人须向发包人支付1万元/天的违约金。</w:t>
      </w:r>
    </w:p>
    <w:p>
      <w:pPr>
        <w:adjustRightInd w:val="0"/>
        <w:snapToGrid w:val="0"/>
        <w:spacing w:line="360" w:lineRule="auto"/>
        <w:ind w:firstLine="420" w:firstLineChars="200"/>
        <w:rPr>
          <w:rFonts w:ascii="宋体" w:hAnsi="宋体"/>
          <w:snapToGrid w:val="0"/>
          <w:color w:val="auto"/>
          <w:kern w:val="0"/>
          <w:highlight w:val="none"/>
          <w:u w:val="single"/>
        </w:rPr>
      </w:pPr>
      <w:r>
        <w:rPr>
          <w:rFonts w:hint="eastAsia" w:ascii="宋体" w:hAnsi="宋体"/>
          <w:snapToGrid w:val="0"/>
          <w:color w:val="auto"/>
          <w:kern w:val="0"/>
          <w:highlight w:val="none"/>
          <w:u w:val="single"/>
        </w:rPr>
        <w:t>7)</w:t>
      </w:r>
      <w:r>
        <w:rPr>
          <w:rFonts w:hint="eastAsia"/>
          <w:color w:val="auto"/>
          <w:highlight w:val="none"/>
        </w:rPr>
        <w:t xml:space="preserve"> </w:t>
      </w:r>
      <w:r>
        <w:rPr>
          <w:rFonts w:hint="eastAsia" w:ascii="宋体" w:hAnsi="宋体"/>
          <w:snapToGrid w:val="0"/>
          <w:color w:val="auto"/>
          <w:kern w:val="0"/>
          <w:highlight w:val="none"/>
          <w:u w:val="single"/>
        </w:rPr>
        <w:t>承包人不按本合同的有关约定投入现场组织管理人员、施工作业人员、施工机械设备，或者擅自变更资源投入计划或者擅自对已投入的资源进行调整的，承包人必须按照总监理工程师或者发包人的指令限期改正；承包人拒不限期改正的，发包人视情节严重程度有权要求承包人承担一般违约责任（一般情况）或严重违约责任（情节严重情况），并由承包人承担由此造成的一切经济损失。情节特别严重的，发包人有权单方面部分解除合同或解除合同。</w:t>
      </w:r>
    </w:p>
    <w:p>
      <w:pPr>
        <w:pStyle w:val="15"/>
        <w:rPr>
          <w:color w:val="auto"/>
          <w:highlight w:val="none"/>
        </w:rPr>
      </w:pPr>
      <w:r>
        <w:rPr>
          <w:rFonts w:hint="eastAsia"/>
          <w:color w:val="auto"/>
          <w:highlight w:val="none"/>
        </w:rPr>
        <w:t>8）承包人应将发包人按合同约定支付给承包人的各项价款专用于合同工程，存于承包人设立的工程款监管账户，由发包人、承包人和开户银行卡签订《建设资金三方监管协议》，共同委托开户银行监管，并接受发包人监管，任何情况下承包人不得进行资金归集，不得通过权益转让、抵押、质押、担保等任何其他方式使用监管账户的资金。为方便对建设资金的监管，工程款监管账户原则在发包人或工程所在地经发包人认可的银行开立。</w:t>
      </w:r>
    </w:p>
    <w:p>
      <w:pPr>
        <w:pStyle w:val="6"/>
        <w:numPr>
          <w:ilvl w:val="1"/>
          <w:numId w:val="0"/>
        </w:numPr>
        <w:ind w:firstLine="422" w:firstLineChars="200"/>
        <w:rPr>
          <w:color w:val="auto"/>
          <w:highlight w:val="none"/>
        </w:rPr>
      </w:pPr>
      <w:r>
        <w:rPr>
          <w:rFonts w:hint="eastAsia"/>
          <w:color w:val="auto"/>
          <w:highlight w:val="none"/>
        </w:rPr>
        <w:t>4.2. 履约担保</w:t>
      </w:r>
    </w:p>
    <w:p>
      <w:pPr>
        <w:pStyle w:val="7"/>
        <w:numPr>
          <w:ilvl w:val="2"/>
          <w:numId w:val="0"/>
        </w:numPr>
        <w:ind w:firstLine="420" w:firstLineChars="200"/>
        <w:rPr>
          <w:color w:val="auto"/>
          <w:highlight w:val="none"/>
        </w:rPr>
      </w:pPr>
      <w:r>
        <w:rPr>
          <w:rFonts w:hint="eastAsia"/>
          <w:color w:val="auto"/>
          <w:highlight w:val="none"/>
        </w:rPr>
        <w:t>4.2.1.履约</w:t>
      </w:r>
      <w:r>
        <w:rPr>
          <w:rFonts w:hint="eastAsia" w:hAnsi="宋体"/>
          <w:color w:val="auto"/>
          <w:highlight w:val="none"/>
        </w:rPr>
        <w:t>保函</w:t>
      </w:r>
      <w:r>
        <w:rPr>
          <w:rFonts w:hint="eastAsia"/>
          <w:color w:val="auto"/>
          <w:highlight w:val="none"/>
        </w:rPr>
        <w:t>的担保额度为合同暂定总金额的</w:t>
      </w:r>
      <w:r>
        <w:rPr>
          <w:rFonts w:hint="eastAsia"/>
          <w:color w:val="auto"/>
          <w:highlight w:val="none"/>
          <w:u w:val="single"/>
        </w:rPr>
        <w:t xml:space="preserve">  10%   </w:t>
      </w:r>
      <w:r>
        <w:rPr>
          <w:rFonts w:hint="eastAsia"/>
          <w:color w:val="auto"/>
          <w:highlight w:val="none"/>
        </w:rPr>
        <w:t>。</w:t>
      </w:r>
    </w:p>
    <w:p>
      <w:pPr>
        <w:pStyle w:val="6"/>
        <w:numPr>
          <w:ilvl w:val="1"/>
          <w:numId w:val="0"/>
        </w:numPr>
        <w:ind w:firstLine="422" w:firstLineChars="200"/>
        <w:rPr>
          <w:color w:val="auto"/>
          <w:highlight w:val="none"/>
        </w:rPr>
      </w:pPr>
      <w:r>
        <w:rPr>
          <w:color w:val="auto"/>
          <w:highlight w:val="none"/>
        </w:rPr>
        <w:t>4.3</w:t>
      </w:r>
      <w:r>
        <w:rPr>
          <w:rFonts w:hint="eastAsia"/>
          <w:color w:val="auto"/>
          <w:highlight w:val="none"/>
        </w:rPr>
        <w:t>分包</w:t>
      </w:r>
    </w:p>
    <w:p>
      <w:pPr>
        <w:pStyle w:val="7"/>
        <w:numPr>
          <w:ilvl w:val="2"/>
          <w:numId w:val="0"/>
        </w:numPr>
        <w:ind w:firstLine="420" w:firstLineChars="200"/>
        <w:rPr>
          <w:color w:val="auto"/>
          <w:highlight w:val="none"/>
        </w:rPr>
      </w:pPr>
      <w:r>
        <w:rPr>
          <w:rFonts w:hint="eastAsia"/>
          <w:color w:val="auto"/>
          <w:highlight w:val="none"/>
        </w:rPr>
        <w:t>4.3.1.工程</w:t>
      </w:r>
      <w:r>
        <w:rPr>
          <w:rFonts w:hint="eastAsia" w:hAnsi="宋体"/>
          <w:color w:val="auto"/>
          <w:highlight w:val="none"/>
        </w:rPr>
        <w:t>转包</w:t>
      </w:r>
      <w:r>
        <w:rPr>
          <w:rFonts w:hint="eastAsia"/>
          <w:color w:val="auto"/>
          <w:highlight w:val="none"/>
        </w:rPr>
        <w:t>的违约责任：承包人转包工程的，发包人有权单方解除合同，承包人须向发包人承担严重违约责任，由此造成发包人损失的，由承包人负责全额赔偿。</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工程分包的违约责任：任何工程项目的分包都必须经发包人书面同意，否则不允许进场，承包人擅自分包工程的，发包人有权选择以下方式进行处罚：</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①按照本合同条款规定单方部分或全部解除合同，承包人应向发包人承担严重违约责任。如上述违约金不足以弥补发包人由此所遭受损失的，承包人还应承担补足赔偿的责任。</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②如果发包人同意继续履行合同的，承包人需向发包人承担重大违约责任，由此造成发包人损失的，由承包人负责全额赔偿。</w:t>
      </w:r>
    </w:p>
    <w:p>
      <w:pPr>
        <w:pStyle w:val="7"/>
        <w:numPr>
          <w:ilvl w:val="2"/>
          <w:numId w:val="0"/>
        </w:numPr>
        <w:ind w:firstLine="420" w:firstLineChars="200"/>
        <w:rPr>
          <w:color w:val="auto"/>
          <w:highlight w:val="none"/>
        </w:rPr>
      </w:pPr>
      <w:r>
        <w:rPr>
          <w:color w:val="auto"/>
          <w:highlight w:val="none"/>
        </w:rPr>
        <w:t>4.3.2</w:t>
      </w:r>
      <w:r>
        <w:rPr>
          <w:rFonts w:hint="eastAsia"/>
          <w:color w:val="auto"/>
          <w:highlight w:val="none"/>
        </w:rPr>
        <w:t>承包人应在分包场地派驻相应管理人员保证本合同的履行。</w:t>
      </w:r>
    </w:p>
    <w:p>
      <w:pPr>
        <w:pStyle w:val="7"/>
        <w:numPr>
          <w:ilvl w:val="2"/>
          <w:numId w:val="0"/>
        </w:numPr>
        <w:ind w:firstLine="420" w:firstLineChars="200"/>
        <w:rPr>
          <w:color w:val="auto"/>
          <w:highlight w:val="none"/>
        </w:rPr>
      </w:pPr>
      <w:r>
        <w:rPr>
          <w:rFonts w:hint="eastAsia"/>
          <w:color w:val="auto"/>
          <w:highlight w:val="none"/>
        </w:rPr>
        <w:t>4.3.3承包人本工程所有劳务分包合同必须报发包人备案，且承包人必须为派驻发包人现场的所有人员购买社保 。</w:t>
      </w:r>
    </w:p>
    <w:p>
      <w:pPr>
        <w:pStyle w:val="7"/>
        <w:numPr>
          <w:ilvl w:val="2"/>
          <w:numId w:val="0"/>
        </w:numPr>
        <w:ind w:firstLine="420" w:firstLineChars="200"/>
        <w:rPr>
          <w:rFonts w:hAnsi="宋体"/>
          <w:color w:val="auto"/>
          <w:highlight w:val="none"/>
        </w:rPr>
      </w:pPr>
      <w:r>
        <w:rPr>
          <w:rFonts w:hAnsi="宋体"/>
          <w:color w:val="auto"/>
          <w:highlight w:val="none"/>
        </w:rPr>
        <w:t>4.3.4</w:t>
      </w:r>
      <w:r>
        <w:rPr>
          <w:rFonts w:hint="eastAsia" w:hAnsi="宋体"/>
          <w:color w:val="auto"/>
          <w:highlight w:val="none"/>
        </w:rPr>
        <w:t>分包工程的工程费用必须专款专用，承包人不得恶意压缩或变相压缩该部分工程的费用；如果委托分包单位实施，承包人须按分包合同约定的工程费用足额支付给分包单位。如发包人有要求时，承包人应提供能表明已向分包人支付其应得的任何款项等证明资料。如发现承包人没有按分包合同约定的工程费用足额或延迟支付给分包单位，承包人每次须向发包人承担一般违约责任，且发包人有权把相应工程费用直接支付给分包单位，发包人向分包单位的直接支付视为发包人已向承包人支付了相应的工程费用。</w:t>
      </w:r>
    </w:p>
    <w:p>
      <w:pPr>
        <w:pStyle w:val="6"/>
        <w:numPr>
          <w:ilvl w:val="1"/>
          <w:numId w:val="0"/>
        </w:numPr>
        <w:ind w:firstLine="422" w:firstLineChars="200"/>
        <w:rPr>
          <w:color w:val="auto"/>
          <w:highlight w:val="none"/>
        </w:rPr>
      </w:pPr>
      <w:r>
        <w:rPr>
          <w:rFonts w:hint="eastAsia"/>
          <w:color w:val="auto"/>
          <w:highlight w:val="none"/>
        </w:rPr>
        <w:t>4.4. 承包人项目经理</w:t>
      </w:r>
    </w:p>
    <w:p>
      <w:pPr>
        <w:pStyle w:val="7"/>
        <w:numPr>
          <w:ilvl w:val="2"/>
          <w:numId w:val="0"/>
        </w:numPr>
        <w:ind w:firstLine="420" w:firstLineChars="200"/>
        <w:rPr>
          <w:rFonts w:hAnsi="宋体"/>
          <w:color w:val="auto"/>
          <w:highlight w:val="none"/>
        </w:rPr>
      </w:pPr>
      <w:r>
        <w:rPr>
          <w:rFonts w:hint="eastAsia" w:hAnsi="宋体"/>
          <w:color w:val="auto"/>
          <w:highlight w:val="none"/>
        </w:rPr>
        <w:t>4.4.1. 承包人项目经理的姓名：</w:t>
      </w:r>
      <w:r>
        <w:rPr>
          <w:rFonts w:hint="eastAsia"/>
          <w:color w:val="auto"/>
          <w:highlight w:val="none"/>
          <w:u w:val="single"/>
        </w:rPr>
        <w:t xml:space="preserve">       </w:t>
      </w:r>
      <w:r>
        <w:rPr>
          <w:rFonts w:hint="eastAsia" w:hAnsi="宋体"/>
          <w:color w:val="auto"/>
          <w:highlight w:val="none"/>
        </w:rPr>
        <w:t>，职务：</w:t>
      </w:r>
      <w:r>
        <w:rPr>
          <w:rFonts w:hint="eastAsia"/>
          <w:color w:val="auto"/>
          <w:highlight w:val="none"/>
          <w:u w:val="single"/>
        </w:rPr>
        <w:t xml:space="preserve">     </w:t>
      </w:r>
      <w:r>
        <w:rPr>
          <w:rFonts w:hint="eastAsia" w:hAnsi="宋体"/>
          <w:color w:val="auto"/>
          <w:highlight w:val="none"/>
        </w:rPr>
        <w:t>，联系电话：</w:t>
      </w:r>
      <w:r>
        <w:rPr>
          <w:rFonts w:hint="eastAsia"/>
          <w:color w:val="auto"/>
          <w:highlight w:val="none"/>
          <w:u w:val="single"/>
        </w:rPr>
        <w:t xml:space="preserve">       </w:t>
      </w:r>
      <w:r>
        <w:rPr>
          <w:rFonts w:hint="eastAsia"/>
          <w:color w:val="auto"/>
          <w:highlight w:val="none"/>
        </w:rPr>
        <w:t>。</w:t>
      </w:r>
    </w:p>
    <w:p>
      <w:pPr>
        <w:pStyle w:val="6"/>
        <w:numPr>
          <w:ilvl w:val="1"/>
          <w:numId w:val="0"/>
        </w:numPr>
        <w:ind w:firstLine="422" w:firstLineChars="200"/>
        <w:rPr>
          <w:color w:val="auto"/>
          <w:highlight w:val="none"/>
        </w:rPr>
      </w:pPr>
      <w:r>
        <w:rPr>
          <w:rFonts w:hint="eastAsia"/>
          <w:color w:val="auto"/>
          <w:highlight w:val="none"/>
        </w:rPr>
        <w:t>4.5</w:t>
      </w:r>
      <w:r>
        <w:rPr>
          <w:rFonts w:hint="eastAsia"/>
          <w:color w:val="auto"/>
          <w:highlight w:val="none"/>
        </w:rPr>
        <w:tab/>
      </w:r>
      <w:r>
        <w:rPr>
          <w:rFonts w:hint="eastAsia"/>
          <w:color w:val="auto"/>
          <w:highlight w:val="none"/>
        </w:rPr>
        <w:t>承包人人员的管理</w:t>
      </w:r>
    </w:p>
    <w:p>
      <w:pPr>
        <w:pStyle w:val="7"/>
        <w:numPr>
          <w:ilvl w:val="2"/>
          <w:numId w:val="0"/>
        </w:numPr>
        <w:ind w:firstLine="420" w:firstLineChars="200"/>
        <w:rPr>
          <w:color w:val="auto"/>
          <w:highlight w:val="none"/>
        </w:rPr>
      </w:pPr>
      <w:r>
        <w:rPr>
          <w:rFonts w:hint="eastAsia" w:hAnsi="宋体"/>
          <w:color w:val="auto"/>
          <w:highlight w:val="none"/>
        </w:rPr>
        <w:t>4.5.1</w:t>
      </w:r>
      <w:r>
        <w:rPr>
          <w:rFonts w:hint="eastAsia"/>
          <w:color w:val="auto"/>
          <w:highlight w:val="none"/>
        </w:rPr>
        <w:t>为完成合同约定的各项工作，承包人应向施工场地派遣或雇佣足够数量的下列人员：</w:t>
      </w:r>
    </w:p>
    <w:p>
      <w:pPr>
        <w:spacing w:line="360" w:lineRule="auto"/>
        <w:ind w:firstLine="420" w:firstLineChars="200"/>
        <w:rPr>
          <w:rFonts w:hAnsi="宋体"/>
          <w:bCs/>
          <w:color w:val="auto"/>
          <w:szCs w:val="28"/>
          <w:highlight w:val="none"/>
          <w:u w:val="single"/>
        </w:rPr>
      </w:pPr>
      <w:r>
        <w:rPr>
          <w:rFonts w:hint="eastAsia" w:hAnsi="宋体"/>
          <w:bCs/>
          <w:color w:val="auto"/>
          <w:szCs w:val="28"/>
          <w:highlight w:val="none"/>
          <w:u w:val="single"/>
        </w:rPr>
        <w:t>承包人应当按招标文件需求和投标文件组建项目管理部并委派项目管理人员，以上人员均须驻场且不得擅自在施工期间更换。承包人项目经理不按时到位、违反本合同规定兼任其他项目工作、承包人未经发包人同意更换项目经理或擅自再行更换已被发包人同意更换的项目经理、承包人拒不更换不合格的项目经理的，每违反一项承包人应向发包人支付人民币10万元违约金。且发包人有权视情况选择全部或部分解除合同。</w:t>
      </w:r>
    </w:p>
    <w:p>
      <w:pPr>
        <w:spacing w:line="360" w:lineRule="auto"/>
        <w:ind w:firstLine="420" w:firstLineChars="200"/>
        <w:rPr>
          <w:rFonts w:hAnsi="宋体"/>
          <w:bCs/>
          <w:color w:val="auto"/>
          <w:szCs w:val="28"/>
          <w:highlight w:val="none"/>
        </w:rPr>
      </w:pPr>
      <w:r>
        <w:rPr>
          <w:rFonts w:hint="eastAsia" w:hAnsi="宋体"/>
          <w:bCs/>
          <w:color w:val="auto"/>
          <w:szCs w:val="28"/>
          <w:highlight w:val="none"/>
          <w:u w:val="single"/>
        </w:rPr>
        <w:t>承包人的技术负责人自本工程开工准备至竣工验收合格必须专职在工程现场工作。承包人各管理人员（生产经理、安全专员）在所负责分部或分项工程施工期间（包括施工准备和施工收尾阶段），均须专职在岗，不得兼任其他项目任何职务。技术负责人不按时到位、违反本合同规定兼任其他项目工作、承包人未经发包人同意更换技术负责人、承包人拒不更换不合格的技术负责人，每人次赔偿发包人人民币50,000元；其他主要管理人员（生产经理、安全专员）不按时到位、违反本合同规定兼任其他项目工作、承包人未经发包人同意更换主要管理人员的、承包人拒不更换不合格的主要管理人员，每人次需向发包人支付违约金人民币20,000元；若给发包人造成损失的，还须赔偿发包人全部损失。承包人更换人员，其后任必须无条件全面继续承担前任应负的职责。承包人为本项目配备的人员，若经发包人确认属以下情形之一者，发包人可以要求承包人予以撤换，承包人应在收到发包人书面通知的2天内将其调离本工程项目，否则承包人按照延迟调离天数每人次每天向发包人支付违约金（项目经理为 【2】万元/天，其他项目管理人员为 【1】万元/天，直至更换人员符合发包人要求为止。同时，发包人有权选择全部或部分解除合同，全部责任由承包人承担。</w:t>
      </w:r>
    </w:p>
    <w:p>
      <w:pPr>
        <w:spacing w:line="360" w:lineRule="auto"/>
        <w:ind w:firstLine="420" w:firstLineChars="200"/>
        <w:rPr>
          <w:rFonts w:hAnsi="宋体"/>
          <w:bCs/>
          <w:color w:val="auto"/>
          <w:szCs w:val="28"/>
          <w:highlight w:val="none"/>
        </w:rPr>
      </w:pPr>
      <w:r>
        <w:rPr>
          <w:rFonts w:hint="eastAsia" w:hAnsi="宋体"/>
          <w:bCs/>
          <w:color w:val="auto"/>
          <w:szCs w:val="28"/>
          <w:highlight w:val="none"/>
        </w:rPr>
        <w:t>a、发包人认为无法胜任承包人所定岗位工作者（包括对分部分项工程施工进度及施工质量达不到合同要求负有责任的施工管理人员及不能胜任本专业工作的施工技术人员等）；</w:t>
      </w:r>
    </w:p>
    <w:p>
      <w:pPr>
        <w:spacing w:line="360" w:lineRule="auto"/>
        <w:ind w:firstLine="420" w:firstLineChars="200"/>
        <w:rPr>
          <w:rFonts w:hAnsi="宋体"/>
          <w:bCs/>
          <w:color w:val="auto"/>
          <w:szCs w:val="28"/>
          <w:highlight w:val="none"/>
        </w:rPr>
      </w:pPr>
      <w:r>
        <w:rPr>
          <w:rFonts w:hint="eastAsia" w:hAnsi="宋体"/>
          <w:bCs/>
          <w:color w:val="auto"/>
          <w:szCs w:val="28"/>
          <w:highlight w:val="none"/>
        </w:rPr>
        <w:t>b、不能积极配合发包人正常工作者；</w:t>
      </w:r>
    </w:p>
    <w:p>
      <w:pPr>
        <w:spacing w:line="360" w:lineRule="auto"/>
        <w:ind w:firstLine="420" w:firstLineChars="200"/>
        <w:rPr>
          <w:rFonts w:hAnsi="宋体"/>
          <w:bCs/>
          <w:color w:val="auto"/>
          <w:szCs w:val="28"/>
          <w:highlight w:val="none"/>
        </w:rPr>
      </w:pPr>
      <w:r>
        <w:rPr>
          <w:rFonts w:hint="eastAsia" w:hAnsi="宋体"/>
          <w:bCs/>
          <w:color w:val="auto"/>
          <w:szCs w:val="28"/>
          <w:highlight w:val="none"/>
        </w:rPr>
        <w:t>c、违反发包人或监理单位工地现场管理规定者；</w:t>
      </w:r>
    </w:p>
    <w:p>
      <w:pPr>
        <w:spacing w:line="360" w:lineRule="auto"/>
        <w:ind w:firstLine="420" w:firstLineChars="200"/>
        <w:rPr>
          <w:rFonts w:hAnsi="宋体"/>
          <w:bCs/>
          <w:color w:val="auto"/>
          <w:szCs w:val="28"/>
          <w:highlight w:val="none"/>
        </w:rPr>
      </w:pPr>
      <w:r>
        <w:rPr>
          <w:rFonts w:hint="eastAsia" w:hAnsi="宋体"/>
          <w:bCs/>
          <w:color w:val="auto"/>
          <w:szCs w:val="28"/>
          <w:highlight w:val="none"/>
        </w:rPr>
        <w:t>d、无上岗证上岗者（适用于按规定必须有上岗证的人员）；</w:t>
      </w:r>
    </w:p>
    <w:p>
      <w:pPr>
        <w:spacing w:line="360" w:lineRule="auto"/>
        <w:ind w:firstLine="420" w:firstLineChars="200"/>
        <w:rPr>
          <w:rFonts w:hAnsi="宋体"/>
          <w:bCs/>
          <w:color w:val="auto"/>
          <w:szCs w:val="28"/>
          <w:highlight w:val="none"/>
        </w:rPr>
      </w:pPr>
      <w:r>
        <w:rPr>
          <w:rFonts w:hint="eastAsia" w:hAnsi="宋体"/>
          <w:bCs/>
          <w:color w:val="auto"/>
          <w:szCs w:val="28"/>
          <w:highlight w:val="none"/>
        </w:rPr>
        <w:t>e、与本合同规定名册不符的有关方面负责人员、专业人员；</w:t>
      </w:r>
    </w:p>
    <w:p>
      <w:pPr>
        <w:spacing w:line="360" w:lineRule="auto"/>
        <w:ind w:firstLine="420" w:firstLineChars="200"/>
        <w:rPr>
          <w:rFonts w:hAnsi="宋体"/>
          <w:bCs/>
          <w:color w:val="auto"/>
          <w:szCs w:val="28"/>
          <w:highlight w:val="none"/>
        </w:rPr>
      </w:pPr>
      <w:r>
        <w:rPr>
          <w:rFonts w:hint="eastAsia" w:hAnsi="宋体"/>
          <w:bCs/>
          <w:color w:val="auto"/>
          <w:szCs w:val="28"/>
          <w:highlight w:val="none"/>
        </w:rPr>
        <w:t>f、与本工程施工无关的人员。</w:t>
      </w:r>
    </w:p>
    <w:p>
      <w:pPr>
        <w:spacing w:line="360" w:lineRule="auto"/>
        <w:ind w:firstLine="420" w:firstLineChars="200"/>
        <w:rPr>
          <w:rFonts w:hAnsi="宋体"/>
          <w:bCs/>
          <w:color w:val="auto"/>
          <w:szCs w:val="28"/>
          <w:highlight w:val="none"/>
        </w:rPr>
      </w:pPr>
      <w:r>
        <w:rPr>
          <w:rFonts w:hint="eastAsia" w:hAnsi="宋体"/>
          <w:bCs/>
          <w:color w:val="auto"/>
          <w:szCs w:val="28"/>
          <w:highlight w:val="none"/>
        </w:rPr>
        <w:t>承包人应确保项目管理人员在建设期内项目管理人员变更比例不得超过三分之一。如承包人项目管理人员存在重大疾病（或需长期住院治疗的疾病）、辞职、退休等无法克服、避免的客观情形确需更换的，原则上承包人应至少提前【7】 天内向监理人、发包人报送变更申请（附更换原因证明材料和更换人员的详细履历资料，属于疾病需更换的应由三甲医院出具证明），拟更换后的项目管理人员应不低于招投标文件等合同文件中 资质、资历、职称、业绩等有关要求、承诺，经监理人审核、发包人同意后方能更换。承包人应确保申请材料真实、完整、合法有效，如经发包人发现变更申请存在弄虚作假等违背诚实信用原则的情形，建议按【10】万元/次向发包人支付违约金。</w:t>
      </w:r>
    </w:p>
    <w:p>
      <w:pPr>
        <w:spacing w:line="360" w:lineRule="auto"/>
        <w:ind w:firstLine="420" w:firstLineChars="200"/>
        <w:rPr>
          <w:rFonts w:hAnsi="宋体"/>
          <w:bCs/>
          <w:color w:val="auto"/>
          <w:szCs w:val="28"/>
          <w:highlight w:val="none"/>
        </w:rPr>
      </w:pPr>
      <w:r>
        <w:rPr>
          <w:rFonts w:hint="eastAsia" w:hAnsi="宋体"/>
          <w:bCs/>
          <w:color w:val="auto"/>
          <w:szCs w:val="28"/>
          <w:highlight w:val="none"/>
        </w:rPr>
        <w:t>因已知或可预见的原因（包括非突发性重大疾病、离职后到原单位的关联单位任职等），承包人在合同生效后一个月内申请更换项目经理或其他项目管理人员的，经发包人同意，更换项目经理的违约金为【5】万元/次，更换安全负责人、技术负责人的违约金为 【2】万元/次，更换项目副经理、质量负责人、财务负责人等其他管理人员的违约金为 【2】万元/次；承包人在合同生效一个月后申请更换项目经理的，经发包人同意，首次更换的违约金为 【2】万元，后续如有更换则每次更换的违约金标准较上一次更换上浮 【50】%（例如第二次更换支付违约金 【3】万元，以此类推）；承包人在合同生效一个月后申请更换其他项目管理人员的，经发包人同意，首次更换的违约金为 【3】万元，后续如有更换则每次更换的违约金标准较上一次更换上浮【50】%（例如第二次更换支付违约金 【1.5】万元，以此类推）。</w:t>
      </w:r>
    </w:p>
    <w:p>
      <w:pPr>
        <w:spacing w:line="360" w:lineRule="auto"/>
        <w:ind w:firstLine="420" w:firstLineChars="200"/>
        <w:rPr>
          <w:rFonts w:hAnsi="宋体"/>
          <w:bCs/>
          <w:color w:val="auto"/>
          <w:szCs w:val="28"/>
          <w:highlight w:val="none"/>
        </w:rPr>
      </w:pPr>
      <w:r>
        <w:rPr>
          <w:rFonts w:hint="eastAsia" w:hAnsi="宋体"/>
          <w:bCs/>
          <w:color w:val="auto"/>
          <w:szCs w:val="28"/>
          <w:highlight w:val="none"/>
        </w:rPr>
        <w:t>项目经理或各专业人员违反本合同规定离岗的，每人每天须向发包人支付人民币5000元违约金。</w:t>
      </w:r>
    </w:p>
    <w:p>
      <w:pPr>
        <w:rPr>
          <w:rFonts w:hAnsi="宋体"/>
          <w:bCs/>
          <w:color w:val="auto"/>
          <w:szCs w:val="28"/>
          <w:highlight w:val="none"/>
        </w:rPr>
      </w:pPr>
      <w:r>
        <w:rPr>
          <w:rFonts w:hint="eastAsia" w:hAnsi="宋体"/>
          <w:bCs/>
          <w:color w:val="auto"/>
          <w:szCs w:val="28"/>
          <w:highlight w:val="none"/>
        </w:rPr>
        <w:t>承包人项目管理人员未经发包人同意不参加所需会议的，每次须向发包人支付人民币5000元违约金。</w:t>
      </w:r>
    </w:p>
    <w:p>
      <w:pPr>
        <w:pStyle w:val="2"/>
        <w:ind w:left="0" w:leftChars="0" w:firstLine="420"/>
        <w:rPr>
          <w:color w:val="auto"/>
          <w:highlight w:val="none"/>
        </w:rPr>
      </w:pPr>
      <w:r>
        <w:rPr>
          <w:rFonts w:hint="eastAsia"/>
          <w:color w:val="auto"/>
          <w:highlight w:val="none"/>
        </w:rPr>
        <w:t>发包人可对项目部成员到岗履职情况进行随机抽查，若</w:t>
      </w:r>
      <w:bookmarkStart w:id="512" w:name="_GoBack"/>
      <w:bookmarkEnd w:id="512"/>
      <w:r>
        <w:rPr>
          <w:rFonts w:hint="eastAsia"/>
          <w:color w:val="auto"/>
          <w:highlight w:val="none"/>
        </w:rPr>
        <w:t>抽查到岗履职达标率不足60％，视为对应标条款作虚假承诺，属于严重违约行为，发包人保留解除合同及向建设主管部门投诉的权利，并追究承包人由此造成发包人一切损失的赔偿。</w:t>
      </w:r>
    </w:p>
    <w:p>
      <w:pPr>
        <w:pStyle w:val="6"/>
        <w:numPr>
          <w:ilvl w:val="1"/>
          <w:numId w:val="0"/>
        </w:numPr>
        <w:ind w:firstLine="422" w:firstLineChars="200"/>
        <w:rPr>
          <w:color w:val="auto"/>
          <w:highlight w:val="none"/>
        </w:rPr>
      </w:pPr>
      <w:r>
        <w:rPr>
          <w:rFonts w:hint="eastAsia"/>
          <w:color w:val="auto"/>
          <w:highlight w:val="none"/>
        </w:rPr>
        <w:t>4.6.承包人现场查勘</w:t>
      </w:r>
    </w:p>
    <w:p>
      <w:pPr>
        <w:pStyle w:val="7"/>
        <w:numPr>
          <w:ilvl w:val="2"/>
          <w:numId w:val="0"/>
        </w:numPr>
        <w:ind w:firstLine="420" w:firstLineChars="200"/>
        <w:rPr>
          <w:rFonts w:hAnsi="宋体"/>
          <w:color w:val="auto"/>
          <w:highlight w:val="none"/>
        </w:rPr>
      </w:pPr>
      <w:r>
        <w:rPr>
          <w:rFonts w:hint="eastAsia" w:hAnsi="宋体"/>
          <w:color w:val="auto"/>
          <w:highlight w:val="none"/>
        </w:rPr>
        <w:t>4.6.1.</w:t>
      </w:r>
      <w:r>
        <w:rPr>
          <w:rFonts w:hint="eastAsia" w:hAnsi="宋体"/>
          <w:color w:val="auto"/>
          <w:highlight w:val="none"/>
        </w:rPr>
        <w:tab/>
      </w:r>
      <w:r>
        <w:rPr>
          <w:rFonts w:hint="eastAsia" w:hAnsi="宋体"/>
          <w:color w:val="auto"/>
          <w:highlight w:val="none"/>
        </w:rPr>
        <w:t>发包人应提供施工场地的地质勘探资料、地下管网线路、地下构筑物资料、现场水文气象资料。承包人应对其阅读上述有关资料后所作出的解释和推断负责。如因承包人原因造成损坏，由承包人负责维修并承担费用。</w:t>
      </w:r>
    </w:p>
    <w:p>
      <w:pPr>
        <w:pStyle w:val="7"/>
        <w:numPr>
          <w:ilvl w:val="2"/>
          <w:numId w:val="0"/>
        </w:numPr>
        <w:ind w:firstLine="420" w:firstLineChars="200"/>
        <w:rPr>
          <w:rFonts w:hAnsi="宋体"/>
          <w:color w:val="auto"/>
          <w:highlight w:val="none"/>
        </w:rPr>
      </w:pPr>
      <w:r>
        <w:rPr>
          <w:rFonts w:hint="eastAsia" w:hAnsi="宋体"/>
          <w:color w:val="auto"/>
          <w:highlight w:val="none"/>
        </w:rPr>
        <w:t>4.6.2.</w:t>
      </w:r>
      <w:r>
        <w:rPr>
          <w:rFonts w:hint="eastAsia" w:hAnsi="宋体"/>
          <w:color w:val="auto"/>
          <w:highlight w:val="none"/>
        </w:rPr>
        <w:tab/>
      </w:r>
      <w:r>
        <w:rPr>
          <w:rFonts w:hint="eastAsia" w:hAnsi="宋体"/>
          <w:color w:val="auto"/>
          <w:highlight w:val="none"/>
        </w:rPr>
        <w:t>发包人将水平控制点提供给承包人，并于现场交验。水平控制点交验完毕，即由承包人自费负责保护，此后由于破坏或失准带来的重新测量、放点费用及由此造成的其他损失均由承包人负担。</w:t>
      </w:r>
    </w:p>
    <w:p>
      <w:pPr>
        <w:pStyle w:val="6"/>
        <w:numPr>
          <w:ilvl w:val="1"/>
          <w:numId w:val="0"/>
        </w:numPr>
        <w:ind w:firstLine="422" w:firstLineChars="200"/>
        <w:rPr>
          <w:color w:val="auto"/>
          <w:highlight w:val="none"/>
        </w:rPr>
      </w:pPr>
      <w:r>
        <w:rPr>
          <w:rFonts w:hint="eastAsia"/>
          <w:color w:val="auto"/>
          <w:szCs w:val="20"/>
          <w:highlight w:val="none"/>
        </w:rPr>
        <w:t>4.7.对工人工资支付的约定：</w:t>
      </w:r>
    </w:p>
    <w:p>
      <w:pPr>
        <w:pStyle w:val="7"/>
        <w:numPr>
          <w:ilvl w:val="2"/>
          <w:numId w:val="0"/>
        </w:numPr>
        <w:ind w:firstLine="420" w:firstLineChars="200"/>
        <w:rPr>
          <w:rFonts w:hAnsi="宋体"/>
          <w:color w:val="auto"/>
          <w:highlight w:val="none"/>
        </w:rPr>
      </w:pPr>
      <w:r>
        <w:rPr>
          <w:rFonts w:hint="eastAsia" w:hAnsi="宋体"/>
          <w:color w:val="auto"/>
          <w:highlight w:val="none"/>
        </w:rPr>
        <w:t>4.7.1. 承包人必须对所有进场建筑工人进行实名制管理，并为每一位工人办理工资个人账户，建立工人工资支付台账，每月定期将工资直接支付给工人本人。发包人对建筑工人的个人银行账户的真实性进行检查监督。</w:t>
      </w:r>
    </w:p>
    <w:p>
      <w:pPr>
        <w:pStyle w:val="7"/>
        <w:numPr>
          <w:ilvl w:val="2"/>
          <w:numId w:val="0"/>
        </w:numPr>
        <w:ind w:firstLine="420" w:firstLineChars="200"/>
        <w:rPr>
          <w:rFonts w:hAnsi="宋体"/>
          <w:color w:val="auto"/>
          <w:highlight w:val="none"/>
        </w:rPr>
      </w:pPr>
      <w:r>
        <w:rPr>
          <w:rFonts w:hint="eastAsia" w:hAnsi="宋体"/>
          <w:color w:val="auto"/>
          <w:highlight w:val="none"/>
        </w:rPr>
        <w:t>4.7.2.承包人应当建立工人考勤、工资结算和支付等管理台账，存档备查，并将相关信息按月报送建设行业主管部门，工人考勤和工资结算明细表须经工人签名确认。</w:t>
      </w:r>
    </w:p>
    <w:p>
      <w:pPr>
        <w:pStyle w:val="7"/>
        <w:ind w:firstLine="420" w:firstLineChars="200"/>
        <w:rPr>
          <w:color w:val="auto"/>
          <w:highlight w:val="none"/>
        </w:rPr>
      </w:pPr>
      <w:r>
        <w:rPr>
          <w:rFonts w:hint="eastAsia"/>
          <w:color w:val="auto"/>
          <w:highlight w:val="none"/>
        </w:rPr>
        <w:t>4.7.3.承包人应承担施工现场建筑工人实名制管理职责，制定本企业建筑工人实名管理制度，配备专（兼）职建筑工人实名制管理人员，通过信息化手段将相关数据实时、准确、完整上传至相关部门的建筑工人实名制管理平台。</w:t>
      </w:r>
    </w:p>
    <w:p>
      <w:pPr>
        <w:rPr>
          <w:color w:val="auto"/>
          <w:szCs w:val="20"/>
          <w:highlight w:val="none"/>
        </w:rPr>
      </w:pPr>
    </w:p>
    <w:p>
      <w:pPr>
        <w:pStyle w:val="5"/>
        <w:numPr>
          <w:ilvl w:val="0"/>
          <w:numId w:val="42"/>
        </w:numPr>
        <w:spacing w:before="156" w:beforeLines="50"/>
        <w:ind w:left="0" w:firstLine="562" w:firstLineChars="200"/>
        <w:rPr>
          <w:color w:val="auto"/>
          <w:highlight w:val="none"/>
        </w:rPr>
      </w:pPr>
      <w:bookmarkStart w:id="268" w:name="_Toc33092185"/>
      <w:bookmarkStart w:id="269" w:name="_Toc33448402"/>
      <w:bookmarkStart w:id="270" w:name="_Toc427331240"/>
      <w:bookmarkStart w:id="271" w:name="_Toc33448473"/>
      <w:bookmarkStart w:id="272" w:name="_Toc33445972"/>
      <w:bookmarkStart w:id="273" w:name="_Toc33445897"/>
      <w:bookmarkStart w:id="274" w:name="_Toc350865569"/>
      <w:bookmarkStart w:id="275" w:name="_Toc33446075"/>
      <w:bookmarkStart w:id="276" w:name="_Toc666"/>
      <w:bookmarkStart w:id="277" w:name="_Toc133502197"/>
      <w:bookmarkStart w:id="278" w:name="_Toc350865207"/>
      <w:r>
        <w:rPr>
          <w:rFonts w:hint="eastAsia"/>
          <w:color w:val="auto"/>
          <w:highlight w:val="none"/>
        </w:rPr>
        <w:t>材料和工程设备</w:t>
      </w:r>
      <w:bookmarkEnd w:id="268"/>
      <w:bookmarkEnd w:id="269"/>
      <w:bookmarkEnd w:id="270"/>
      <w:bookmarkEnd w:id="271"/>
      <w:bookmarkEnd w:id="272"/>
      <w:bookmarkEnd w:id="273"/>
      <w:bookmarkEnd w:id="274"/>
      <w:bookmarkEnd w:id="275"/>
      <w:bookmarkEnd w:id="276"/>
      <w:bookmarkEnd w:id="277"/>
      <w:bookmarkEnd w:id="278"/>
    </w:p>
    <w:p>
      <w:pPr>
        <w:pStyle w:val="6"/>
        <w:ind w:left="720"/>
        <w:rPr>
          <w:color w:val="auto"/>
          <w:highlight w:val="none"/>
        </w:rPr>
      </w:pPr>
      <w:r>
        <w:rPr>
          <w:rFonts w:hint="eastAsia"/>
          <w:color w:val="auto"/>
          <w:highlight w:val="none"/>
        </w:rPr>
        <w:t>5</w:t>
      </w:r>
      <w:r>
        <w:rPr>
          <w:color w:val="auto"/>
          <w:highlight w:val="none"/>
        </w:rPr>
        <w:t xml:space="preserve">.1 </w:t>
      </w:r>
      <w:r>
        <w:rPr>
          <w:rFonts w:hint="eastAsia"/>
          <w:color w:val="auto"/>
          <w:highlight w:val="none"/>
        </w:rPr>
        <w:t>承包人提供的材料和工程设备</w:t>
      </w:r>
      <w:bookmarkStart w:id="279" w:name="_Toc350865570"/>
      <w:bookmarkStart w:id="280" w:name="_Toc33445898"/>
      <w:bookmarkStart w:id="281" w:name="_Toc33448474"/>
      <w:bookmarkStart w:id="282" w:name="_Toc427331241"/>
      <w:bookmarkStart w:id="283" w:name="_Toc33092186"/>
      <w:bookmarkStart w:id="284" w:name="_Toc33445973"/>
      <w:bookmarkStart w:id="285" w:name="_Toc350865208"/>
      <w:bookmarkStart w:id="286" w:name="_Toc33448403"/>
      <w:bookmarkStart w:id="287" w:name="_Toc33446076"/>
      <w:bookmarkStart w:id="288" w:name="_Toc133502198"/>
      <w:bookmarkStart w:id="289" w:name="_Toc20239"/>
    </w:p>
    <w:p>
      <w:pPr>
        <w:spacing w:line="360" w:lineRule="auto"/>
        <w:rPr>
          <w:color w:val="auto"/>
          <w:highlight w:val="none"/>
        </w:rPr>
      </w:pPr>
      <w:r>
        <w:rPr>
          <w:color w:val="auto"/>
          <w:highlight w:val="none"/>
        </w:rPr>
        <w:t xml:space="preserve">      </w:t>
      </w:r>
      <w:r>
        <w:rPr>
          <w:rFonts w:hint="eastAsia"/>
          <w:color w:val="auto"/>
          <w:highlight w:val="none"/>
        </w:rPr>
        <w:t>5.1.1.甲控乙供的材料和工程设备。承包人进场后</w:t>
      </w:r>
      <w:r>
        <w:rPr>
          <w:color w:val="auto"/>
          <w:highlight w:val="none"/>
        </w:rPr>
        <w:t>7</w:t>
      </w:r>
      <w:r>
        <w:rPr>
          <w:rFonts w:hint="eastAsia"/>
          <w:color w:val="auto"/>
          <w:highlight w:val="none"/>
        </w:rPr>
        <w:t>天（备注：需根据各项目工期及其他条件需要综合确定）内须完成材料设备品牌、系列型号的报审工作，包括：清单内的所有主材、设备、合同约定品牌的材料设备，有技术文件约定参数的材料设备，其他需要报审的材料设备。品牌报审同时完成以下计划申报工作：《材料设备进场计划》（含甲供）、《材料设备排产计划》（含甲供）。</w:t>
      </w:r>
    </w:p>
    <w:p>
      <w:pPr>
        <w:spacing w:line="360" w:lineRule="auto"/>
        <w:rPr>
          <w:color w:val="auto"/>
          <w:highlight w:val="none"/>
        </w:rPr>
      </w:pPr>
      <w:r>
        <w:rPr>
          <w:color w:val="auto"/>
          <w:highlight w:val="none"/>
        </w:rPr>
        <w:t xml:space="preserve">      </w:t>
      </w:r>
      <w:r>
        <w:rPr>
          <w:rFonts w:hint="eastAsia"/>
          <w:color w:val="auto"/>
          <w:highlight w:val="none"/>
        </w:rPr>
        <w:t>5.1.2. 发包人对承包人提供材料和工程设备的另行约定：对于投标书中已承诺并经发包人确认的材料（设备），经总监理工程师和发包人核实，在施工当时已停产或施工当时有生产但市场上的数量不能满足施工需要的，若招标时发包人已提供参考品牌的，由发包人在推荐品牌中选择与投标书中已承诺材料同一档次或高一档次的品牌材料；若招标时发包人未明确参考品牌的，承包人须采购发包人认可的与其投标书承诺品牌同一档次的材料（设备），价格按原投标单价；若招标时发包人未明确参考品牌的，且承包人在其投标书中亦未对相关材料（设备）品牌进行承诺的，须采购满足相关技术要求且发包人认可的材料（设备），价格按原投标单价。</w:t>
      </w:r>
    </w:p>
    <w:p>
      <w:pPr>
        <w:spacing w:line="360" w:lineRule="auto"/>
        <w:rPr>
          <w:color w:val="auto"/>
          <w:highlight w:val="none"/>
        </w:rPr>
      </w:pPr>
      <w:r>
        <w:rPr>
          <w:color w:val="auto"/>
          <w:highlight w:val="none"/>
        </w:rPr>
        <w:t xml:space="preserve">     </w:t>
      </w:r>
      <w:r>
        <w:rPr>
          <w:rFonts w:hint="eastAsia"/>
          <w:color w:val="auto"/>
          <w:highlight w:val="none"/>
        </w:rPr>
        <w:t>5.1.4. 承包人自行采购的材料设备，订货前至少</w:t>
      </w:r>
      <w:r>
        <w:rPr>
          <w:color w:val="auto"/>
          <w:highlight w:val="none"/>
        </w:rPr>
        <w:t>10</w:t>
      </w:r>
      <w:r>
        <w:rPr>
          <w:rFonts w:hint="eastAsia"/>
          <w:color w:val="auto"/>
          <w:highlight w:val="none"/>
        </w:rPr>
        <w:t xml:space="preserve">天（属监造设备的订货前至少90天）应向监理单位及发包人提供相关的材料、设备文件（包括但不限于品牌、产地、规格、等级、技术性能指标检测检验报告等证明材料、设备满足招标图纸及技术文件要求，且与发包人推荐品牌相当档次的文件、资料），报发包人审批同意后方可采购；并对需要封样的产品进行三方封样, 作为进场验收和施工复核的依据。承包人所购材料设备必须是原厂、正品、全新的产品。 </w:t>
      </w:r>
    </w:p>
    <w:p>
      <w:pPr>
        <w:spacing w:line="360"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材料、设备所配套申报的生产及加工厂家、代理商需要满足招标文件中相关要求，并配合发包人进行相关考察，考察结果不能满足项目需求的，发包人有权拒绝使用该项产品。材料、设备进场前7天，需要向发包人提供承包人或其经发包人审批的专业分包人与相关厂家、授权代理商签订的供货合同、出厂合格证、各种产品质量认证证书、出厂试验报告、型式试验报告、第三方检测报告、相关保证函、厂家联系方式、验证方式、厂家确认的出货单等相关正规渠道出货证明，进口材料设备还需要提供报关单、原产地证明、商检证明文件；承包人进场材料与设备未附或未按上述要求提供齐全资料的，若影响进场验收和使用的则不予验收进场，若不影响验收使用的，承包人应在限期内补充完整。未经进场验收而使用该批次材料设备的，承包人应按使用不合格材料设备的行为承担违约责任；经催办限期内仍未补充齐全材料设备报验资料的，则发包人有权暂缓支付进度款中对应材料与设备的价款或降低该批次材料与设备的支付比例，直至承包人资料提供齐全为止。授权代理商须提供项目授权或年度授权证明。材料、设备、辅材的采购不得由劳务分包代购。</w:t>
      </w:r>
    </w:p>
    <w:p>
      <w:pPr>
        <w:spacing w:line="360"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承包人需要根据发包人要求制定材料设备的进场计划并与厂家制定材料设备排产计划和监造大纲。按监造大纲组织到厂监造。需监造的材料设备：      /     。监造材料设备的相关费用由承包人承担。</w:t>
      </w:r>
    </w:p>
    <w:p>
      <w:pPr>
        <w:spacing w:line="360"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承包人自行采购的材料、设备（或元件）未按合同约定报发包人审批同意的，承包人应按该批材料、设备（或元件）的“数量×已标价工程量清单的对应材料设备单价”20％支付违约金。发包人有权要求承包人拆除、退场或重新采购，并承担由此发生的费用，工期不予顺延。若发包人同意验收的，承包人应支付上述违约金并采取以下处理方法：若该批材料、设备（或元件）市场价低于合同材料、设备（或元件）价格的，则承包人按照材料、设备市场价计价，并再以价差计算违约金；若该批材料、设备（或元件）市场价高于合同材料、设备（或元件）价格的，则按合同材料、设备（或元件）价格计价。</w:t>
      </w:r>
    </w:p>
    <w:p>
      <w:pPr>
        <w:spacing w:line="360"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发包人有权对原甲控乙供材料设备一览表的部分品牌进行更换或取消，对新增的材料设备品牌价格由双方协商确定。</w:t>
      </w:r>
    </w:p>
    <w:p>
      <w:pPr>
        <w:spacing w:line="360"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对于垄断性（消防、电力、防雷、市政给水、排污、环保、燃气、网络通讯等）部门要求验收的材料，承包人必须使用在工程所在地有相关工程业绩的材料并提交相关工程业绩的证明。</w:t>
      </w:r>
    </w:p>
    <w:p>
      <w:pPr>
        <w:spacing w:line="360" w:lineRule="auto"/>
        <w:rPr>
          <w:color w:val="auto"/>
          <w:highlight w:val="none"/>
        </w:rPr>
      </w:pPr>
      <w:r>
        <w:rPr>
          <w:color w:val="auto"/>
          <w:highlight w:val="none"/>
        </w:rPr>
        <w:t xml:space="preserve">        </w:t>
      </w:r>
      <w:r>
        <w:rPr>
          <w:rFonts w:hint="eastAsia"/>
          <w:color w:val="auto"/>
          <w:highlight w:val="none"/>
        </w:rPr>
        <w:t>5.1.8.检测费用承担方式：</w:t>
      </w:r>
    </w:p>
    <w:p>
      <w:pPr>
        <w:spacing w:line="360"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本项目除桩基检测、土壤氡检测、超前钻、人防面积测绘、基坑监测、地铁监测由发包人自行委托，其余均由承包人承担且已经包含在本合同价款内（包括但不限于：需提供检测所需的材料并承担材料及材料损耗及检测配合的相关费用）。除根据政策要求的第三方检测和监理相关检测外，根据工程实际情况，发包人对有疑问、高价值、对效果有重大影响、易产生不合格品的材料设备有权实施抽检，且承包人不得以该抽检工作为由提出工期索赔。如因发包人提出的抽检，费用由发包人先行支付，检验的结果证明该项材料、设备不符合合同要求的，因此增加的费用由承包人承担，发包人有权从应付承包人的工程款中扣除；检验结果证明该项材料、设备符合合同要求的，由发包人承担因此增加的费用。各项检查中已经出现不合格品的材料、设备整改后需要加倍抽检或全检，承包人承担全额费用，工期不予顺延。不论是否通过发包人、监理单位的抽查、验收，监理单位及发包人对材料、设备的检验、抽查意见均不免除承包人提供的材料设备不符合合同约定的责任。</w:t>
      </w:r>
    </w:p>
    <w:p>
      <w:pPr>
        <w:spacing w:line="360" w:lineRule="auto"/>
        <w:rPr>
          <w:color w:val="auto"/>
          <w:highlight w:val="none"/>
        </w:rPr>
      </w:pPr>
      <w:r>
        <w:rPr>
          <w:color w:val="auto"/>
          <w:highlight w:val="none"/>
        </w:rPr>
        <w:t xml:space="preserve">      </w:t>
      </w:r>
      <w:r>
        <w:rPr>
          <w:rFonts w:hint="eastAsia"/>
          <w:color w:val="auto"/>
          <w:highlight w:val="none"/>
        </w:rPr>
        <w:t>5.1.9. 承包人采购和（或）使用不符合设计和合同要求的材料、设备（或元件）时，应按该批材料、设备（或元件）的“数量×已标价工程量清单的对应材料设备单价”20％支付违约金。发包人有权要求承包人拆除、退场或重新采购，并承担由此发生的费用，工期不予顺延。若发包人同意验收的，承包人应支付上述违约金并采取以下处理方法：若该批材料、设备（或元件）市场价低于合同材料、设备（或元件）价格的，则承包人按照材料、设备（或元件）市场价计价；若该批材料、设备（或元件）市场价高于合同材料、设备（或元件）价格的，则按合同材料、设备（或元件）价格计价。</w:t>
      </w:r>
    </w:p>
    <w:p>
      <w:pPr>
        <w:spacing w:line="360" w:lineRule="auto"/>
        <w:ind w:firstLine="420" w:firstLineChars="200"/>
        <w:rPr>
          <w:color w:val="auto"/>
          <w:highlight w:val="none"/>
        </w:rPr>
      </w:pPr>
      <w:r>
        <w:rPr>
          <w:rFonts w:hint="eastAsia"/>
          <w:color w:val="auto"/>
          <w:highlight w:val="none"/>
        </w:rPr>
        <w:t xml:space="preserve">若承包人将假冒伪劣材料设备用于本工程，则每发生一例，发包人有权要求承包人承担相当于该批材料价款2倍的违约金，该款项直接从工程进度款及工程结算款中扣除，无需经承包人同意。 承包人并应无条件负责修复、拆除并将所购材料设备退场，并承担由此产生的一切费用及责任，由此延误的工期由承包人承担责任。 </w:t>
      </w:r>
    </w:p>
    <w:p>
      <w:pPr>
        <w:spacing w:line="360"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如发生5.1.9约定情形或发包人有证据证明有极大可能会发生此款约定情形的，发包人有权将该部分材料设备改为甲供，由此造成的发包人损失以及延误的工期均由承包人承担责任。</w:t>
      </w:r>
    </w:p>
    <w:p>
      <w:pPr>
        <w:spacing w:line="360" w:lineRule="auto"/>
        <w:rPr>
          <w:color w:val="auto"/>
          <w:highlight w:val="none"/>
        </w:rPr>
      </w:pPr>
      <w:r>
        <w:rPr>
          <w:color w:val="auto"/>
          <w:highlight w:val="none"/>
        </w:rPr>
        <w:t xml:space="preserve">      </w:t>
      </w:r>
      <w:r>
        <w:rPr>
          <w:rFonts w:hint="eastAsia"/>
          <w:color w:val="auto"/>
          <w:highlight w:val="none"/>
        </w:rPr>
        <w:t xml:space="preserve">5.1.12. 承包人可能被要求提供下列与备品备件有关的材料、通知和资料： </w:t>
      </w:r>
    </w:p>
    <w:p>
      <w:pPr>
        <w:spacing w:line="360"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发包人有权选择从承包人选购超出合同约定数量的备品备件，但前提条件是该选择并不能免除承包人在合同范围内所承担的义务。</w:t>
      </w:r>
    </w:p>
    <w:p>
      <w:pPr>
        <w:spacing w:line="360"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备品备件计量计价约定：无 。</w:t>
      </w:r>
    </w:p>
    <w:p>
      <w:pPr>
        <w:spacing w:line="360"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在备品备件停产生产的情况下，承包人应事先将要停止生产的计划通知发包人使发包人有足够的时间采购所需的备品备件；在备品备件停止生产后，如果发包人要求，承包人应免费向发包人提供备件的蓝图、图纸和规格。</w:t>
      </w:r>
    </w:p>
    <w:p>
      <w:pPr>
        <w:pStyle w:val="5"/>
        <w:spacing w:before="156" w:beforeLines="50"/>
        <w:ind w:left="648"/>
        <w:rPr>
          <w:color w:val="auto"/>
          <w:highlight w:val="none"/>
        </w:rPr>
      </w:pPr>
      <w:r>
        <w:rPr>
          <w:rFonts w:hint="eastAsia"/>
          <w:color w:val="auto"/>
          <w:highlight w:val="none"/>
        </w:rPr>
        <w:t>6</w:t>
      </w:r>
      <w:r>
        <w:rPr>
          <w:color w:val="auto"/>
          <w:highlight w:val="none"/>
        </w:rPr>
        <w:t>.</w:t>
      </w:r>
      <w:r>
        <w:rPr>
          <w:rFonts w:hint="eastAsia"/>
          <w:color w:val="auto"/>
          <w:highlight w:val="none"/>
        </w:rPr>
        <w:t>施工设备和临时设施</w:t>
      </w:r>
      <w:bookmarkEnd w:id="279"/>
      <w:bookmarkEnd w:id="280"/>
      <w:bookmarkEnd w:id="281"/>
      <w:bookmarkEnd w:id="282"/>
      <w:bookmarkEnd w:id="283"/>
      <w:bookmarkEnd w:id="284"/>
      <w:bookmarkEnd w:id="285"/>
      <w:bookmarkEnd w:id="286"/>
      <w:bookmarkEnd w:id="287"/>
      <w:bookmarkEnd w:id="288"/>
      <w:bookmarkEnd w:id="289"/>
    </w:p>
    <w:p>
      <w:pPr>
        <w:pStyle w:val="6"/>
        <w:numPr>
          <w:ilvl w:val="1"/>
          <w:numId w:val="0"/>
        </w:numPr>
        <w:ind w:firstLine="422" w:firstLineChars="200"/>
        <w:rPr>
          <w:color w:val="auto"/>
          <w:highlight w:val="none"/>
        </w:rPr>
      </w:pPr>
      <w:r>
        <w:rPr>
          <w:rFonts w:hint="eastAsia"/>
          <w:color w:val="auto"/>
          <w:highlight w:val="none"/>
        </w:rPr>
        <w:t>6.1. 承包人提供的施工设备和临时设施</w:t>
      </w:r>
    </w:p>
    <w:p>
      <w:pPr>
        <w:pStyle w:val="7"/>
        <w:numPr>
          <w:ilvl w:val="2"/>
          <w:numId w:val="0"/>
        </w:numPr>
        <w:ind w:firstLine="420" w:firstLineChars="200"/>
        <w:rPr>
          <w:rFonts w:hAnsi="宋体"/>
          <w:color w:val="auto"/>
          <w:highlight w:val="none"/>
        </w:rPr>
      </w:pPr>
      <w:r>
        <w:rPr>
          <w:rFonts w:hint="eastAsia" w:hAnsi="宋体"/>
          <w:color w:val="auto"/>
          <w:highlight w:val="none"/>
        </w:rPr>
        <w:t>6.1.1. 承包人提供的施工设备或临时设施：承包人提供的施工设备或临时设施不得低于承包人投标文件中明确的数量、规格及投入时间等承诺标准；如投标承诺中提供的施工设备或临时设施无法满足按约定的时间、质量标准等完成本合同工程的要求，承包人应自行增加、完善投入的施工设备和临时设施；如发包人认为承包人投入的施工设备或临时设施不足，已影响到工程进度、安全、质量，发包人有权要求承包人在</w:t>
      </w:r>
      <w:r>
        <w:rPr>
          <w:rFonts w:hAnsi="宋体"/>
          <w:color w:val="auto"/>
          <w:highlight w:val="none"/>
        </w:rPr>
        <w:t>48小时内增加及完善投入的施工设备和临时设施，否则承包人</w:t>
      </w:r>
      <w:r>
        <w:rPr>
          <w:rFonts w:hint="eastAsia" w:hAnsi="宋体"/>
          <w:color w:val="auto"/>
          <w:highlight w:val="none"/>
        </w:rPr>
        <w:t>每次</w:t>
      </w:r>
      <w:r>
        <w:rPr>
          <w:rFonts w:hAnsi="宋体"/>
          <w:color w:val="auto"/>
          <w:highlight w:val="none"/>
        </w:rPr>
        <w:t>须向发包人</w:t>
      </w:r>
      <w:r>
        <w:rPr>
          <w:rFonts w:hint="eastAsia" w:hAnsi="宋体"/>
          <w:color w:val="auto"/>
          <w:highlight w:val="none"/>
        </w:rPr>
        <w:t>承担一般违约责任</w:t>
      </w:r>
      <w:r>
        <w:rPr>
          <w:rFonts w:hAnsi="宋体"/>
          <w:color w:val="auto"/>
          <w:highlight w:val="none"/>
        </w:rPr>
        <w:t>，</w:t>
      </w:r>
      <w:r>
        <w:rPr>
          <w:rFonts w:hAnsi="宋体"/>
          <w:color w:val="auto"/>
          <w:highlight w:val="none"/>
        </w:rPr>
        <w:tab/>
      </w:r>
      <w:r>
        <w:rPr>
          <w:rFonts w:hint="eastAsia" w:hAnsi="宋体"/>
          <w:color w:val="auto"/>
          <w:highlight w:val="none"/>
        </w:rPr>
        <w:t>增加及完善投入的施工设备和临时设施相关费用由承包人承担，发包人不再另行支付。</w:t>
      </w:r>
      <w:r>
        <w:rPr>
          <w:rFonts w:hint="eastAsia" w:hAnsi="宋体"/>
          <w:color w:val="auto"/>
          <w:highlight w:val="none"/>
        </w:rPr>
        <w:tab/>
      </w:r>
    </w:p>
    <w:p>
      <w:pPr>
        <w:pStyle w:val="6"/>
        <w:numPr>
          <w:ilvl w:val="1"/>
          <w:numId w:val="0"/>
        </w:numPr>
        <w:ind w:firstLine="422" w:firstLineChars="200"/>
        <w:rPr>
          <w:b w:val="0"/>
          <w:color w:val="auto"/>
          <w:highlight w:val="none"/>
        </w:rPr>
      </w:pPr>
      <w:r>
        <w:rPr>
          <w:rFonts w:hint="eastAsia"/>
          <w:color w:val="auto"/>
          <w:highlight w:val="none"/>
        </w:rPr>
        <w:t>6.2. 发包人提供的施工设备和临时设施</w:t>
      </w:r>
    </w:p>
    <w:p>
      <w:pPr>
        <w:pStyle w:val="7"/>
        <w:numPr>
          <w:ilvl w:val="2"/>
          <w:numId w:val="0"/>
        </w:numPr>
        <w:ind w:firstLine="420" w:firstLineChars="200"/>
        <w:rPr>
          <w:rFonts w:hAnsi="宋体"/>
          <w:color w:val="auto"/>
          <w:highlight w:val="none"/>
        </w:rPr>
      </w:pPr>
      <w:r>
        <w:rPr>
          <w:rFonts w:hint="eastAsia" w:hAnsi="宋体"/>
          <w:color w:val="auto"/>
          <w:highlight w:val="none"/>
        </w:rPr>
        <w:t>6.2.1. 发包人提供的施工设备或临时设施：施工人员住宿由承包人自行于工地范围外解决（施工管理人员及施工人员均不许在工地范围内住宿），承包人需考虑住宿费用。承包人施工材料机具堆放、人员办公等场地由总承包人于工地范围内统筹安排场地，由承包人自行搭设。本工程场地不能保证场地内材料存放与加工布置需求，所连带发生相关费用由承包人自行考虑。</w:t>
      </w:r>
    </w:p>
    <w:p>
      <w:pPr>
        <w:pStyle w:val="7"/>
        <w:numPr>
          <w:ilvl w:val="2"/>
          <w:numId w:val="0"/>
        </w:numPr>
        <w:ind w:firstLine="420" w:firstLineChars="200"/>
        <w:rPr>
          <w:color w:val="auto"/>
          <w:highlight w:val="none"/>
        </w:rPr>
      </w:pPr>
      <w:r>
        <w:rPr>
          <w:rFonts w:hint="eastAsia" w:hAnsi="宋体"/>
          <w:color w:val="auto"/>
          <w:highlight w:val="none"/>
        </w:rPr>
        <w:t>6.</w:t>
      </w:r>
      <w:r>
        <w:rPr>
          <w:rFonts w:hAnsi="宋体"/>
          <w:color w:val="auto"/>
          <w:highlight w:val="none"/>
        </w:rPr>
        <w:t>2</w:t>
      </w:r>
      <w:r>
        <w:rPr>
          <w:rFonts w:hint="eastAsia" w:hAnsi="宋体"/>
          <w:color w:val="auto"/>
          <w:highlight w:val="none"/>
        </w:rPr>
        <w:t>.</w:t>
      </w:r>
      <w:r>
        <w:rPr>
          <w:rFonts w:hAnsi="宋体"/>
          <w:color w:val="auto"/>
          <w:highlight w:val="none"/>
        </w:rPr>
        <w:t>2</w:t>
      </w:r>
      <w:r>
        <w:rPr>
          <w:rFonts w:hint="eastAsia" w:hAnsi="宋体"/>
          <w:color w:val="auto"/>
          <w:highlight w:val="none"/>
        </w:rPr>
        <w:t>.承包人未经监理人批准，不得私自将已按合同约定进入施工场地的施工设备、临时设施或材料撤离施工场地。否则承包人应承担一般违约责任，并限期将私自撤离的施工设备、临时设施或材料重新安排进场。</w:t>
      </w:r>
    </w:p>
    <w:p>
      <w:pPr>
        <w:pStyle w:val="5"/>
        <w:spacing w:before="156" w:beforeLines="50"/>
        <w:rPr>
          <w:color w:val="auto"/>
          <w:highlight w:val="none"/>
        </w:rPr>
      </w:pPr>
      <w:bookmarkStart w:id="290" w:name="_Toc133502199"/>
      <w:bookmarkStart w:id="291" w:name="_Toc33092187"/>
      <w:bookmarkStart w:id="292" w:name="_Toc350865209"/>
      <w:bookmarkStart w:id="293" w:name="_Toc18801"/>
      <w:bookmarkStart w:id="294" w:name="_Toc427331242"/>
      <w:bookmarkStart w:id="295" w:name="_Toc33448404"/>
      <w:bookmarkStart w:id="296" w:name="_Toc33446077"/>
      <w:bookmarkStart w:id="297" w:name="_Toc33448475"/>
      <w:bookmarkStart w:id="298" w:name="_Toc33445974"/>
      <w:bookmarkStart w:id="299" w:name="_Toc33445899"/>
      <w:bookmarkStart w:id="300" w:name="_Toc350865571"/>
      <w:r>
        <w:rPr>
          <w:rFonts w:hint="eastAsia"/>
          <w:color w:val="auto"/>
          <w:highlight w:val="none"/>
        </w:rPr>
        <w:t>7</w:t>
      </w:r>
      <w:r>
        <w:rPr>
          <w:color w:val="auto"/>
          <w:highlight w:val="none"/>
        </w:rPr>
        <w:t>.</w:t>
      </w:r>
      <w:r>
        <w:rPr>
          <w:rFonts w:hint="eastAsia"/>
          <w:color w:val="auto"/>
          <w:highlight w:val="none"/>
        </w:rPr>
        <w:t>交通运输</w:t>
      </w:r>
      <w:bookmarkEnd w:id="290"/>
      <w:bookmarkEnd w:id="291"/>
      <w:bookmarkEnd w:id="292"/>
      <w:bookmarkEnd w:id="293"/>
      <w:bookmarkEnd w:id="294"/>
      <w:bookmarkEnd w:id="295"/>
      <w:bookmarkEnd w:id="296"/>
      <w:bookmarkEnd w:id="297"/>
      <w:bookmarkEnd w:id="298"/>
      <w:bookmarkEnd w:id="299"/>
      <w:bookmarkEnd w:id="300"/>
    </w:p>
    <w:p>
      <w:pPr>
        <w:pStyle w:val="6"/>
        <w:numPr>
          <w:ilvl w:val="1"/>
          <w:numId w:val="0"/>
        </w:numPr>
        <w:ind w:firstLine="422" w:firstLineChars="200"/>
        <w:rPr>
          <w:color w:val="auto"/>
          <w:highlight w:val="none"/>
        </w:rPr>
      </w:pPr>
      <w:r>
        <w:rPr>
          <w:rFonts w:hint="eastAsia"/>
          <w:color w:val="auto"/>
          <w:highlight w:val="none"/>
        </w:rPr>
        <w:t>7.3.</w:t>
      </w:r>
      <w:r>
        <w:rPr>
          <w:rFonts w:hint="eastAsia"/>
          <w:color w:val="auto"/>
          <w:highlight w:val="none"/>
        </w:rPr>
        <w:tab/>
      </w:r>
      <w:r>
        <w:rPr>
          <w:rFonts w:hint="eastAsia"/>
          <w:color w:val="auto"/>
          <w:highlight w:val="none"/>
        </w:rPr>
        <w:t>超大件和超重件的运输</w:t>
      </w:r>
    </w:p>
    <w:p>
      <w:pPr>
        <w:pStyle w:val="7"/>
        <w:numPr>
          <w:ilvl w:val="2"/>
          <w:numId w:val="0"/>
        </w:numPr>
        <w:ind w:firstLine="420" w:firstLineChars="200"/>
        <w:rPr>
          <w:color w:val="auto"/>
          <w:highlight w:val="none"/>
        </w:rPr>
      </w:pPr>
      <w:r>
        <w:rPr>
          <w:rFonts w:hint="eastAsia" w:hAnsi="宋体"/>
          <w:color w:val="auto"/>
          <w:highlight w:val="none"/>
        </w:rPr>
        <w:t>7.3.1.</w:t>
      </w:r>
      <w:r>
        <w:rPr>
          <w:rFonts w:hint="eastAsia" w:hAnsi="宋体"/>
          <w:color w:val="auto"/>
          <w:highlight w:val="none"/>
        </w:rPr>
        <w:tab/>
      </w:r>
      <w:r>
        <w:rPr>
          <w:rFonts w:hint="eastAsia"/>
          <w:color w:val="auto"/>
          <w:highlight w:val="none"/>
        </w:rPr>
        <w:t>由</w:t>
      </w:r>
      <w:r>
        <w:rPr>
          <w:rFonts w:hint="eastAsia" w:hAnsi="宋体"/>
          <w:color w:val="auto"/>
          <w:highlight w:val="none"/>
        </w:rPr>
        <w:t>承包人</w:t>
      </w:r>
      <w:r>
        <w:rPr>
          <w:rFonts w:hint="eastAsia"/>
          <w:color w:val="auto"/>
          <w:highlight w:val="none"/>
        </w:rPr>
        <w:t>负责运输的超大件或超重件，应由承包人负责向交通管理部门办理申请手续。运输超大件或超重件所需的道路和桥梁临时加固改造费用和其他有关费用，由承包人承担。</w:t>
      </w:r>
    </w:p>
    <w:p>
      <w:pPr>
        <w:pStyle w:val="5"/>
        <w:spacing w:before="156" w:beforeLines="50"/>
        <w:rPr>
          <w:color w:val="auto"/>
          <w:highlight w:val="none"/>
        </w:rPr>
      </w:pPr>
      <w:bookmarkStart w:id="301" w:name="_Toc33446078"/>
      <w:bookmarkStart w:id="302" w:name="_Toc33445900"/>
      <w:bookmarkStart w:id="303" w:name="_Toc350865572"/>
      <w:bookmarkStart w:id="304" w:name="_Toc33092188"/>
      <w:bookmarkStart w:id="305" w:name="_Toc33448476"/>
      <w:bookmarkStart w:id="306" w:name="_Toc133502200"/>
      <w:bookmarkStart w:id="307" w:name="_Toc350865210"/>
      <w:bookmarkStart w:id="308" w:name="_Toc427331243"/>
      <w:bookmarkStart w:id="309" w:name="_Toc29819"/>
      <w:bookmarkStart w:id="310" w:name="_Toc33445975"/>
      <w:bookmarkStart w:id="311" w:name="_Toc33448405"/>
      <w:r>
        <w:rPr>
          <w:rFonts w:hint="eastAsia"/>
          <w:color w:val="auto"/>
          <w:highlight w:val="none"/>
        </w:rPr>
        <w:t>8</w:t>
      </w:r>
      <w:r>
        <w:rPr>
          <w:color w:val="auto"/>
          <w:highlight w:val="none"/>
        </w:rPr>
        <w:t>.</w:t>
      </w:r>
      <w:r>
        <w:rPr>
          <w:rFonts w:hint="eastAsia"/>
          <w:color w:val="auto"/>
          <w:highlight w:val="none"/>
        </w:rPr>
        <w:t>测量放线</w:t>
      </w:r>
      <w:bookmarkEnd w:id="301"/>
      <w:bookmarkEnd w:id="302"/>
      <w:bookmarkEnd w:id="303"/>
      <w:bookmarkEnd w:id="304"/>
      <w:bookmarkEnd w:id="305"/>
      <w:bookmarkEnd w:id="306"/>
      <w:bookmarkEnd w:id="307"/>
      <w:bookmarkEnd w:id="308"/>
      <w:bookmarkEnd w:id="309"/>
      <w:bookmarkEnd w:id="310"/>
      <w:bookmarkEnd w:id="311"/>
    </w:p>
    <w:p>
      <w:pPr>
        <w:pStyle w:val="6"/>
        <w:numPr>
          <w:ilvl w:val="1"/>
          <w:numId w:val="0"/>
        </w:numPr>
        <w:ind w:firstLine="422" w:firstLineChars="200"/>
        <w:rPr>
          <w:color w:val="auto"/>
          <w:highlight w:val="none"/>
        </w:rPr>
      </w:pPr>
      <w:r>
        <w:rPr>
          <w:rFonts w:hint="eastAsia"/>
          <w:color w:val="auto"/>
          <w:highlight w:val="none"/>
        </w:rPr>
        <w:t>8.2.关于测量放线的其他约定：</w:t>
      </w:r>
    </w:p>
    <w:p>
      <w:pPr>
        <w:pStyle w:val="7"/>
        <w:numPr>
          <w:ilvl w:val="2"/>
          <w:numId w:val="0"/>
        </w:numPr>
        <w:ind w:firstLine="420" w:firstLineChars="200"/>
        <w:rPr>
          <w:rFonts w:hAnsi="宋体"/>
          <w:color w:val="auto"/>
          <w:highlight w:val="none"/>
        </w:rPr>
      </w:pPr>
      <w:r>
        <w:rPr>
          <w:rFonts w:hint="eastAsia" w:hAnsi="宋体"/>
          <w:color w:val="auto"/>
          <w:highlight w:val="none"/>
        </w:rPr>
        <w:t>8.2.1</w:t>
      </w:r>
      <w:r>
        <w:rPr>
          <w:rFonts w:hint="eastAsia" w:hAnsi="宋体"/>
          <w:color w:val="auto"/>
          <w:highlight w:val="none"/>
        </w:rPr>
        <w:tab/>
      </w:r>
      <w:r>
        <w:rPr>
          <w:rFonts w:hint="eastAsia" w:hAnsi="宋体"/>
          <w:color w:val="auto"/>
          <w:highlight w:val="none"/>
        </w:rPr>
        <w:t>发包人应通过监理人向承包人提供测量基准点、基准线和水准点及其书面资料。除专用条款另有约定外，承包人应根据国家测绘基准、测绘系统和工程测量技术规范，按上述基准点（线）以及合同工程精度要求，测设施工控制网，将施工控制网资料报送监理人审批。</w:t>
      </w:r>
    </w:p>
    <w:p>
      <w:pPr>
        <w:pStyle w:val="7"/>
        <w:numPr>
          <w:ilvl w:val="2"/>
          <w:numId w:val="0"/>
        </w:numPr>
        <w:ind w:firstLine="420" w:firstLineChars="200"/>
        <w:rPr>
          <w:rFonts w:hAnsi="宋体"/>
          <w:color w:val="auto"/>
          <w:highlight w:val="none"/>
        </w:rPr>
      </w:pPr>
      <w:r>
        <w:rPr>
          <w:rFonts w:hint="eastAsia" w:hAnsi="宋体"/>
          <w:color w:val="auto"/>
          <w:highlight w:val="none"/>
        </w:rPr>
        <w:t>8.2.2承包人应负责管理施工控制网点。施工控制网点丢失或损坏的，承包人应及时修复。承包人应承担施工控制网点的管理与修复费用，并在园林绿化工程竣工后将施工控制网点移交发包人。</w:t>
      </w:r>
    </w:p>
    <w:p>
      <w:pPr>
        <w:pStyle w:val="5"/>
        <w:spacing w:before="156" w:beforeLines="50"/>
        <w:ind w:left="562"/>
        <w:rPr>
          <w:color w:val="auto"/>
          <w:highlight w:val="none"/>
        </w:rPr>
      </w:pPr>
      <w:bookmarkStart w:id="312" w:name="_Toc133502201"/>
      <w:bookmarkStart w:id="313" w:name="_Toc33448477"/>
      <w:bookmarkStart w:id="314" w:name="_Toc350865573"/>
      <w:bookmarkStart w:id="315" w:name="_Toc33445976"/>
      <w:bookmarkStart w:id="316" w:name="_Toc427331244"/>
      <w:bookmarkStart w:id="317" w:name="_Toc33092189"/>
      <w:bookmarkStart w:id="318" w:name="_Toc350865211"/>
      <w:bookmarkStart w:id="319" w:name="_Toc33448406"/>
      <w:bookmarkStart w:id="320" w:name="_Toc33446079"/>
      <w:bookmarkStart w:id="321" w:name="_Toc14459"/>
      <w:bookmarkStart w:id="322" w:name="_Toc33445901"/>
      <w:r>
        <w:rPr>
          <w:color w:val="auto"/>
          <w:highlight w:val="none"/>
        </w:rPr>
        <w:t>9.</w:t>
      </w:r>
      <w:r>
        <w:rPr>
          <w:rFonts w:hint="eastAsia"/>
          <w:color w:val="auto"/>
          <w:highlight w:val="none"/>
        </w:rPr>
        <w:t>施工安全、治安保卫和环境保护</w:t>
      </w:r>
      <w:bookmarkEnd w:id="312"/>
      <w:bookmarkEnd w:id="313"/>
      <w:bookmarkEnd w:id="314"/>
      <w:bookmarkEnd w:id="315"/>
      <w:bookmarkEnd w:id="316"/>
      <w:bookmarkEnd w:id="317"/>
      <w:bookmarkEnd w:id="318"/>
      <w:bookmarkEnd w:id="319"/>
      <w:bookmarkEnd w:id="320"/>
      <w:bookmarkEnd w:id="321"/>
      <w:bookmarkEnd w:id="322"/>
    </w:p>
    <w:p>
      <w:pPr>
        <w:pStyle w:val="6"/>
        <w:numPr>
          <w:ilvl w:val="1"/>
          <w:numId w:val="0"/>
        </w:numPr>
        <w:ind w:firstLine="422" w:firstLineChars="200"/>
        <w:rPr>
          <w:color w:val="auto"/>
          <w:highlight w:val="none"/>
        </w:rPr>
      </w:pPr>
      <w:r>
        <w:rPr>
          <w:rFonts w:hint="eastAsia"/>
          <w:color w:val="auto"/>
          <w:highlight w:val="none"/>
        </w:rPr>
        <w:t>9.1.</w:t>
      </w:r>
      <w:r>
        <w:rPr>
          <w:rFonts w:hint="eastAsia"/>
          <w:color w:val="auto"/>
          <w:highlight w:val="none"/>
        </w:rPr>
        <w:tab/>
      </w:r>
      <w:r>
        <w:rPr>
          <w:rFonts w:hint="eastAsia"/>
          <w:color w:val="auto"/>
          <w:highlight w:val="none"/>
        </w:rPr>
        <w:t>承包人的施工安全责任</w:t>
      </w:r>
    </w:p>
    <w:p>
      <w:pPr>
        <w:pStyle w:val="7"/>
        <w:numPr>
          <w:ilvl w:val="2"/>
          <w:numId w:val="0"/>
        </w:numPr>
        <w:ind w:firstLine="420" w:firstLineChars="200"/>
        <w:rPr>
          <w:rFonts w:hAnsi="宋体"/>
          <w:color w:val="auto"/>
          <w:highlight w:val="none"/>
        </w:rPr>
      </w:pPr>
      <w:r>
        <w:rPr>
          <w:rFonts w:hint="eastAsia" w:hAnsi="宋体"/>
          <w:color w:val="auto"/>
          <w:highlight w:val="none"/>
        </w:rPr>
        <w:t>9.1.1. 承包人向监理人及发包人报送施工安全措施计划的期限：</w:t>
      </w:r>
      <w:r>
        <w:rPr>
          <w:rFonts w:hint="eastAsia" w:hAnsi="宋体"/>
          <w:b/>
          <w:color w:val="auto"/>
          <w:highlight w:val="none"/>
          <w:u w:val="single"/>
        </w:rPr>
        <w:t>合同签订后  7  天内  。</w:t>
      </w:r>
    </w:p>
    <w:p>
      <w:pPr>
        <w:pStyle w:val="7"/>
        <w:numPr>
          <w:ilvl w:val="2"/>
          <w:numId w:val="0"/>
        </w:numPr>
        <w:ind w:firstLine="420" w:firstLineChars="200"/>
        <w:rPr>
          <w:rFonts w:hAnsi="宋体"/>
          <w:color w:val="auto"/>
          <w:highlight w:val="none"/>
        </w:rPr>
      </w:pPr>
      <w:r>
        <w:rPr>
          <w:rFonts w:hint="eastAsia" w:hAnsi="宋体"/>
          <w:color w:val="auto"/>
          <w:highlight w:val="none"/>
        </w:rPr>
        <w:t>9.1.2. 承包人须对工地内分包人施工安全进行统一管理，因安全管理疏忽而引致的损失及罚款由承包人负责。承包人须在中标后提交安全施工管理方案及专责人员的名称和资历报发包人审批。未经发包人书面同意，承包人不得擅自更换专责人员，否则每发生1人次，承包人应向发包人承担一般违约责任且还应按照发包人的要求予以换回。</w:t>
      </w:r>
    </w:p>
    <w:p>
      <w:pPr>
        <w:pStyle w:val="7"/>
        <w:numPr>
          <w:ilvl w:val="2"/>
          <w:numId w:val="0"/>
        </w:numPr>
        <w:ind w:firstLine="420" w:firstLineChars="200"/>
        <w:rPr>
          <w:rFonts w:hAnsi="宋体"/>
          <w:color w:val="auto"/>
          <w:highlight w:val="none"/>
        </w:rPr>
      </w:pPr>
      <w:r>
        <w:rPr>
          <w:rFonts w:hint="eastAsia" w:hAnsi="宋体"/>
          <w:color w:val="auto"/>
          <w:highlight w:val="none"/>
        </w:rPr>
        <w:t>9.1.3. 安全作业环境及安全施工措施所需费用，已包含在承包人的合同暂定总价中，该价款为包干金额，除非合同另有约定，不因安全作业环境及安全施工措施内容的变动而变动。</w:t>
      </w:r>
    </w:p>
    <w:p>
      <w:pPr>
        <w:pStyle w:val="7"/>
        <w:numPr>
          <w:ilvl w:val="2"/>
          <w:numId w:val="0"/>
        </w:numPr>
        <w:ind w:firstLine="420" w:firstLineChars="200"/>
        <w:rPr>
          <w:rFonts w:hAnsi="宋体"/>
          <w:color w:val="auto"/>
          <w:highlight w:val="none"/>
        </w:rPr>
      </w:pPr>
      <w:r>
        <w:rPr>
          <w:rFonts w:hint="eastAsia" w:hAnsi="宋体"/>
          <w:color w:val="auto"/>
          <w:highlight w:val="none"/>
        </w:rPr>
        <w:t>9.1.4.安全文明施工若达不到项目所在地市级建设行政主管部门安全文明验收标准或者验收后不能保持到工程移交完毕的，承包人应限期整改完成，并向发包人支付人民币</w:t>
      </w:r>
      <w:r>
        <w:rPr>
          <w:rFonts w:hint="eastAsia" w:hAnsi="宋体"/>
          <w:color w:val="auto"/>
          <w:highlight w:val="none"/>
          <w:u w:val="single"/>
        </w:rPr>
        <w:t xml:space="preserve"> 10万元</w:t>
      </w:r>
      <w:r>
        <w:rPr>
          <w:rFonts w:hint="eastAsia" w:hAnsi="宋体"/>
          <w:color w:val="auto"/>
          <w:highlight w:val="none"/>
        </w:rPr>
        <w:t>的违约金。</w:t>
      </w:r>
    </w:p>
    <w:p>
      <w:pPr>
        <w:pStyle w:val="7"/>
        <w:numPr>
          <w:ilvl w:val="2"/>
          <w:numId w:val="0"/>
        </w:numPr>
        <w:ind w:firstLine="420" w:firstLineChars="200"/>
        <w:rPr>
          <w:rFonts w:hAnsi="宋体"/>
          <w:color w:val="auto"/>
          <w:highlight w:val="none"/>
        </w:rPr>
      </w:pPr>
      <w:r>
        <w:rPr>
          <w:rFonts w:hint="eastAsia" w:hAnsi="宋体"/>
          <w:color w:val="auto"/>
          <w:highlight w:val="none"/>
        </w:rPr>
        <w:t>9.1.5.如承包人对监理通知指出的安全问题未按时整改并回复，承包人应限期整改完成并向发包人支付人民币</w:t>
      </w:r>
      <w:r>
        <w:rPr>
          <w:rFonts w:hAnsi="宋体"/>
          <w:color w:val="auto"/>
          <w:highlight w:val="none"/>
          <w:u w:val="single"/>
        </w:rPr>
        <w:t xml:space="preserve"> </w:t>
      </w:r>
      <w:r>
        <w:rPr>
          <w:rFonts w:hint="eastAsia" w:hAnsi="宋体"/>
          <w:color w:val="auto"/>
          <w:highlight w:val="none"/>
          <w:u w:val="single"/>
        </w:rPr>
        <w:t>10万元</w:t>
      </w:r>
      <w:r>
        <w:rPr>
          <w:rFonts w:hint="eastAsia" w:hAnsi="宋体"/>
          <w:color w:val="auto"/>
          <w:highlight w:val="none"/>
        </w:rPr>
        <w:t>的违约金。</w:t>
      </w:r>
    </w:p>
    <w:p>
      <w:pPr>
        <w:pStyle w:val="7"/>
        <w:numPr>
          <w:ilvl w:val="2"/>
          <w:numId w:val="0"/>
        </w:numPr>
        <w:ind w:firstLine="420" w:firstLineChars="200"/>
        <w:rPr>
          <w:rFonts w:hAnsi="宋体"/>
          <w:color w:val="auto"/>
          <w:highlight w:val="none"/>
        </w:rPr>
      </w:pPr>
      <w:r>
        <w:rPr>
          <w:rFonts w:hint="eastAsia" w:hAnsi="宋体"/>
          <w:color w:val="auto"/>
          <w:highlight w:val="none"/>
        </w:rPr>
        <w:t>9.1.6承包人接受进场施工时的现场状况，需自费负责现场的清理、搬迁等工作，并服从发包人与监理单位对整个工程的管理和协调工作，配合其他施工单位的施工。在施工全过程中，配合监理单位、发包人做好施工现场的安全文明施工。</w:t>
      </w:r>
    </w:p>
    <w:p>
      <w:pPr>
        <w:pStyle w:val="6"/>
        <w:numPr>
          <w:ilvl w:val="1"/>
          <w:numId w:val="0"/>
        </w:numPr>
        <w:ind w:firstLine="422" w:firstLineChars="200"/>
        <w:rPr>
          <w:color w:val="auto"/>
          <w:highlight w:val="none"/>
        </w:rPr>
      </w:pPr>
      <w:r>
        <w:rPr>
          <w:rFonts w:hint="eastAsia"/>
          <w:color w:val="auto"/>
          <w:highlight w:val="none"/>
        </w:rPr>
        <w:t>9.</w:t>
      </w:r>
      <w:r>
        <w:rPr>
          <w:color w:val="auto"/>
          <w:highlight w:val="none"/>
        </w:rPr>
        <w:t>2</w:t>
      </w:r>
      <w:r>
        <w:rPr>
          <w:rFonts w:hint="eastAsia"/>
          <w:color w:val="auto"/>
          <w:highlight w:val="none"/>
        </w:rPr>
        <w:t>.治安保卫</w:t>
      </w:r>
    </w:p>
    <w:p>
      <w:pPr>
        <w:pStyle w:val="6"/>
        <w:numPr>
          <w:ilvl w:val="1"/>
          <w:numId w:val="0"/>
        </w:numPr>
        <w:ind w:firstLine="420" w:firstLineChars="200"/>
        <w:rPr>
          <w:color w:val="auto"/>
          <w:highlight w:val="none"/>
        </w:rPr>
      </w:pPr>
      <w:r>
        <w:rPr>
          <w:b w:val="0"/>
          <w:bCs w:val="0"/>
          <w:color w:val="auto"/>
          <w:highlight w:val="none"/>
        </w:rPr>
        <w:t>9.2.1</w:t>
      </w:r>
      <w:r>
        <w:rPr>
          <w:rFonts w:hint="eastAsia"/>
          <w:b w:val="0"/>
          <w:bCs w:val="0"/>
          <w:color w:val="auto"/>
          <w:highlight w:val="none"/>
        </w:rPr>
        <w:t>承包人必须做好承包范围的安保工作，接受发包人指定的专业保安公司及物业公司管理。</w:t>
      </w:r>
      <w:bookmarkStart w:id="323" w:name="_Toc502828493"/>
      <w:bookmarkStart w:id="324" w:name="_Toc495653056"/>
      <w:bookmarkStart w:id="325" w:name="_Toc496531145"/>
      <w:bookmarkStart w:id="326" w:name="_Toc6934501"/>
      <w:bookmarkStart w:id="327" w:name="_Toc16239556"/>
      <w:bookmarkStart w:id="328" w:name="_Toc14962927"/>
      <w:bookmarkStart w:id="329" w:name="_Toc6242619"/>
      <w:bookmarkStart w:id="330" w:name="_Toc16240106"/>
      <w:bookmarkStart w:id="331" w:name="_Toc495913211"/>
      <w:bookmarkStart w:id="332" w:name="_Toc14963181"/>
      <w:bookmarkStart w:id="333" w:name="_Toc495652753"/>
      <w:bookmarkStart w:id="334" w:name="_Toc498960567"/>
      <w:bookmarkStart w:id="335" w:name="_Toc7345943"/>
      <w:bookmarkStart w:id="336" w:name="_Toc499129843"/>
      <w:bookmarkStart w:id="337" w:name="_Toc16240587"/>
      <w:bookmarkStart w:id="338" w:name="_Toc502237024"/>
      <w:bookmarkStart w:id="339" w:name="_Toc495916071"/>
      <w:bookmarkStart w:id="340" w:name="_Toc6242412"/>
      <w:bookmarkStart w:id="341" w:name="_Toc496532171"/>
      <w:bookmarkStart w:id="342" w:name="_Toc502236693"/>
    </w:p>
    <w:p>
      <w:pPr>
        <w:pStyle w:val="6"/>
        <w:numPr>
          <w:ilvl w:val="1"/>
          <w:numId w:val="0"/>
        </w:numPr>
        <w:ind w:firstLine="422" w:firstLineChars="200"/>
        <w:rPr>
          <w:color w:val="auto"/>
          <w:highlight w:val="none"/>
        </w:rPr>
      </w:pPr>
      <w:r>
        <w:rPr>
          <w:rFonts w:hint="eastAsia"/>
          <w:color w:val="auto"/>
          <w:highlight w:val="none"/>
        </w:rPr>
        <w:t>9.3.</w:t>
      </w:r>
      <w:r>
        <w:rPr>
          <w:rFonts w:hint="eastAsia"/>
          <w:color w:val="auto"/>
          <w:highlight w:val="none"/>
        </w:rPr>
        <w:tab/>
      </w:r>
      <w:r>
        <w:rPr>
          <w:rFonts w:hint="eastAsia"/>
          <w:color w:val="auto"/>
          <w:highlight w:val="none"/>
        </w:rPr>
        <w:t>事故处理</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adjustRightInd w:val="0"/>
        <w:snapToGrid w:val="0"/>
        <w:spacing w:line="360" w:lineRule="auto"/>
        <w:ind w:firstLine="420" w:firstLineChars="200"/>
        <w:outlineLvl w:val="2"/>
        <w:rPr>
          <w:rFonts w:ascii="宋体" w:hAnsi="宋体"/>
          <w:color w:val="auto"/>
          <w:highlight w:val="none"/>
        </w:rPr>
      </w:pPr>
      <w:r>
        <w:rPr>
          <w:rFonts w:hint="eastAsia" w:ascii="宋体" w:hAnsi="宋体"/>
          <w:color w:val="auto"/>
          <w:highlight w:val="none"/>
        </w:rPr>
        <w:t>9.3.1.承包人因自身原因造成重大安全事故（含工程质量事故）的，除按国家规定由行政主管部门处罚外，承包人应承担事故处理的所有责任和费用、赔偿发包人的一切损失，还应依照下列约定承担违约责任：</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①发生特别重大事故，如造成人员死亡的，承包人须向发包人支付违约金，违约金从人民币</w:t>
      </w:r>
      <w:r>
        <w:rPr>
          <w:rFonts w:hint="eastAsia" w:ascii="宋体" w:hAnsi="宋体"/>
          <w:color w:val="auto"/>
          <w:highlight w:val="none"/>
          <w:u w:val="single"/>
        </w:rPr>
        <w:t>400</w:t>
      </w:r>
      <w:r>
        <w:rPr>
          <w:rFonts w:hint="eastAsia" w:ascii="宋体" w:hAnsi="宋体"/>
          <w:color w:val="auto"/>
          <w:highlight w:val="none"/>
        </w:rPr>
        <w:t>万元起计，死亡的人数多于30人时，每增加死亡1人，承包人除支付上述违约金外还须再向发包人支付违约金人民币</w:t>
      </w:r>
      <w:r>
        <w:rPr>
          <w:rFonts w:hint="eastAsia" w:ascii="宋体" w:hAnsi="宋体"/>
          <w:color w:val="auto"/>
          <w:highlight w:val="none"/>
          <w:u w:val="single"/>
        </w:rPr>
        <w:t xml:space="preserve"> 30 </w:t>
      </w:r>
      <w:r>
        <w:rPr>
          <w:rFonts w:hint="eastAsia" w:ascii="宋体" w:hAnsi="宋体"/>
          <w:color w:val="auto"/>
          <w:highlight w:val="none"/>
        </w:rPr>
        <w:t>万元/人；如无造成人员死亡的，承包人除赔偿因此而给发包人造成的全部损失外，还应向发包人支付违约金人民币</w:t>
      </w:r>
      <w:r>
        <w:rPr>
          <w:rFonts w:hint="eastAsia" w:ascii="宋体" w:hAnsi="宋体"/>
          <w:color w:val="auto"/>
          <w:highlight w:val="none"/>
          <w:u w:val="single"/>
        </w:rPr>
        <w:t xml:space="preserve">   50  </w:t>
      </w:r>
      <w:r>
        <w:rPr>
          <w:rFonts w:hint="eastAsia" w:ascii="宋体" w:hAnsi="宋体"/>
          <w:color w:val="auto"/>
          <w:highlight w:val="none"/>
        </w:rPr>
        <w:t>万元。</w:t>
      </w:r>
    </w:p>
    <w:p>
      <w:pPr>
        <w:numPr>
          <w:ilvl w:val="0"/>
          <w:numId w:val="43"/>
        </w:numPr>
        <w:adjustRightInd w:val="0"/>
        <w:snapToGrid w:val="0"/>
        <w:spacing w:line="360" w:lineRule="auto"/>
        <w:ind w:left="0" w:firstLine="420" w:firstLineChars="200"/>
        <w:rPr>
          <w:rFonts w:ascii="宋体" w:hAnsi="宋体"/>
          <w:color w:val="auto"/>
          <w:highlight w:val="none"/>
        </w:rPr>
      </w:pPr>
      <w:r>
        <w:rPr>
          <w:rFonts w:hint="eastAsia" w:ascii="宋体" w:hAnsi="宋体"/>
          <w:color w:val="auto"/>
          <w:highlight w:val="none"/>
        </w:rPr>
        <w:t>发生重大事故，如造成人员死亡的，承包人须向发包人支付违约金，违约金从人民币</w:t>
      </w:r>
      <w:r>
        <w:rPr>
          <w:rFonts w:hint="eastAsia" w:ascii="宋体" w:hAnsi="宋体"/>
          <w:color w:val="auto"/>
          <w:highlight w:val="none"/>
          <w:u w:val="single"/>
        </w:rPr>
        <w:t xml:space="preserve"> 200 </w:t>
      </w:r>
      <w:r>
        <w:rPr>
          <w:rFonts w:hint="eastAsia" w:ascii="宋体" w:hAnsi="宋体"/>
          <w:color w:val="auto"/>
          <w:highlight w:val="none"/>
        </w:rPr>
        <w:t>万元起计，死亡的人数多于10人时，每增加死亡1人，承包人除支付上述违约金外还须再向发包人支付违约金人民币</w:t>
      </w:r>
      <w:r>
        <w:rPr>
          <w:rFonts w:hint="eastAsia" w:ascii="宋体" w:hAnsi="宋体"/>
          <w:color w:val="auto"/>
          <w:highlight w:val="none"/>
          <w:u w:val="single"/>
        </w:rPr>
        <w:t xml:space="preserve"> 30 </w:t>
      </w:r>
      <w:r>
        <w:rPr>
          <w:rFonts w:hint="eastAsia" w:ascii="宋体" w:hAnsi="宋体"/>
          <w:color w:val="auto"/>
          <w:highlight w:val="none"/>
        </w:rPr>
        <w:t>万元/人；如无造成人员死亡的，承包人除赔偿因此而给发包人造成的全部损失外，还应向发包人支付违约金人民币</w:t>
      </w:r>
      <w:r>
        <w:rPr>
          <w:rFonts w:hint="eastAsia" w:ascii="宋体" w:hAnsi="宋体"/>
          <w:color w:val="auto"/>
          <w:highlight w:val="none"/>
          <w:u w:val="single"/>
        </w:rPr>
        <w:t xml:space="preserve">  35 </w:t>
      </w:r>
      <w:r>
        <w:rPr>
          <w:rFonts w:hint="eastAsia" w:ascii="宋体" w:hAnsi="宋体"/>
          <w:color w:val="auto"/>
          <w:highlight w:val="none"/>
        </w:rPr>
        <w:t>万元。</w:t>
      </w:r>
    </w:p>
    <w:p>
      <w:pPr>
        <w:numPr>
          <w:ilvl w:val="0"/>
          <w:numId w:val="43"/>
        </w:numPr>
        <w:adjustRightInd w:val="0"/>
        <w:snapToGrid w:val="0"/>
        <w:spacing w:line="360" w:lineRule="auto"/>
        <w:ind w:left="0" w:firstLine="420" w:firstLineChars="200"/>
        <w:rPr>
          <w:rFonts w:ascii="宋体" w:hAnsi="宋体"/>
          <w:color w:val="auto"/>
          <w:highlight w:val="none"/>
        </w:rPr>
      </w:pPr>
      <w:r>
        <w:rPr>
          <w:rFonts w:hint="eastAsia" w:ascii="宋体" w:hAnsi="宋体"/>
          <w:color w:val="auto"/>
          <w:highlight w:val="none"/>
        </w:rPr>
        <w:t>发生较大事故，如造成人员死亡或重伤的，承包人须向发包人支付违约金，违约金从人民币</w:t>
      </w:r>
      <w:r>
        <w:rPr>
          <w:rFonts w:hint="eastAsia" w:ascii="宋体" w:hAnsi="宋体"/>
          <w:color w:val="auto"/>
          <w:highlight w:val="none"/>
          <w:u w:val="single"/>
        </w:rPr>
        <w:t xml:space="preserve">  100  </w:t>
      </w:r>
      <w:r>
        <w:rPr>
          <w:rFonts w:hint="eastAsia" w:ascii="宋体" w:hAnsi="宋体"/>
          <w:color w:val="auto"/>
          <w:highlight w:val="none"/>
        </w:rPr>
        <w:t>万元起计，死亡的人数多于3人或重伤人数多于20人时，每增加死亡1人或重伤3人，承包人除支付上述违约金外还须再向发包人支付违约金人民币</w:t>
      </w:r>
      <w:r>
        <w:rPr>
          <w:rFonts w:hint="eastAsia" w:ascii="宋体" w:hAnsi="宋体"/>
          <w:color w:val="auto"/>
          <w:highlight w:val="none"/>
          <w:u w:val="single"/>
        </w:rPr>
        <w:t xml:space="preserve"> 30  </w:t>
      </w:r>
      <w:r>
        <w:rPr>
          <w:rFonts w:hint="eastAsia" w:ascii="宋体" w:hAnsi="宋体"/>
          <w:color w:val="auto"/>
          <w:highlight w:val="none"/>
        </w:rPr>
        <w:t>万元；如无造成人员死亡或重伤的，承包人除赔偿因此而给发包人造成的全部损失外，还应向发包人支付违约金人民币</w:t>
      </w:r>
      <w:r>
        <w:rPr>
          <w:rFonts w:hint="eastAsia" w:ascii="宋体" w:hAnsi="宋体"/>
          <w:color w:val="auto"/>
          <w:highlight w:val="none"/>
          <w:u w:val="single"/>
        </w:rPr>
        <w:t xml:space="preserve">  30 </w:t>
      </w:r>
      <w:r>
        <w:rPr>
          <w:rFonts w:hint="eastAsia" w:ascii="宋体" w:hAnsi="宋体"/>
          <w:color w:val="auto"/>
          <w:highlight w:val="none"/>
        </w:rPr>
        <w:t>万元。</w:t>
      </w:r>
    </w:p>
    <w:p>
      <w:pPr>
        <w:numPr>
          <w:ilvl w:val="0"/>
          <w:numId w:val="43"/>
        </w:numPr>
        <w:adjustRightInd w:val="0"/>
        <w:snapToGrid w:val="0"/>
        <w:spacing w:line="360" w:lineRule="auto"/>
        <w:ind w:left="0" w:firstLine="420" w:firstLineChars="200"/>
        <w:rPr>
          <w:rFonts w:ascii="宋体" w:hAnsi="宋体"/>
          <w:color w:val="auto"/>
          <w:highlight w:val="none"/>
        </w:rPr>
      </w:pPr>
      <w:r>
        <w:rPr>
          <w:rFonts w:hint="eastAsia" w:ascii="宋体" w:hAnsi="宋体"/>
          <w:color w:val="auto"/>
          <w:highlight w:val="none"/>
        </w:rPr>
        <w:t>发生一般事故，如造成人员死亡或重伤的，承包人须向发包人支付违约金，违约金从人民币</w:t>
      </w:r>
      <w:r>
        <w:rPr>
          <w:rFonts w:hint="eastAsia" w:ascii="宋体" w:hAnsi="宋体"/>
          <w:color w:val="auto"/>
          <w:highlight w:val="none"/>
          <w:u w:val="single"/>
        </w:rPr>
        <w:t xml:space="preserve">  50 </w:t>
      </w:r>
      <w:r>
        <w:rPr>
          <w:rFonts w:hint="eastAsia" w:ascii="宋体" w:hAnsi="宋体"/>
          <w:color w:val="auto"/>
          <w:highlight w:val="none"/>
        </w:rPr>
        <w:t>万元起计，死亡的人数多于1人或重伤人数多于3人时，每增加死亡1 人或重伤3人，承包人除支付上述违约金外还须再向发包人支付违约金人民币</w:t>
      </w:r>
      <w:r>
        <w:rPr>
          <w:rFonts w:hint="eastAsia" w:ascii="宋体" w:hAnsi="宋体"/>
          <w:color w:val="auto"/>
          <w:highlight w:val="none"/>
          <w:u w:val="single"/>
        </w:rPr>
        <w:t xml:space="preserve">  30 </w:t>
      </w:r>
      <w:r>
        <w:rPr>
          <w:rFonts w:hint="eastAsia" w:ascii="宋体" w:hAnsi="宋体"/>
          <w:color w:val="auto"/>
          <w:highlight w:val="none"/>
        </w:rPr>
        <w:t>万元；如无造成人员死亡或重伤的，承包人除赔偿因此而给发包人造成的全部损失外，还应向发包人支付违约金人民币</w:t>
      </w:r>
      <w:r>
        <w:rPr>
          <w:rFonts w:hint="eastAsia" w:ascii="宋体" w:hAnsi="宋体"/>
          <w:color w:val="auto"/>
          <w:highlight w:val="none"/>
          <w:u w:val="single"/>
        </w:rPr>
        <w:t xml:space="preserve"> 18 </w:t>
      </w:r>
      <w:r>
        <w:rPr>
          <w:rFonts w:hint="eastAsia" w:ascii="宋体" w:hAnsi="宋体"/>
          <w:color w:val="auto"/>
          <w:highlight w:val="none"/>
        </w:rPr>
        <w:t>万元。</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发生上述安全事故，发包人视情况严重性，有权部分或全部解除合同。承包人依照上述约定支付违约金后，所支付的违约金不足以弥补发包人损失的，承包人必须据实赔偿。</w:t>
      </w:r>
    </w:p>
    <w:p>
      <w:pPr>
        <w:pStyle w:val="5"/>
        <w:spacing w:before="156" w:beforeLines="50"/>
        <w:ind w:left="851"/>
        <w:rPr>
          <w:color w:val="auto"/>
          <w:highlight w:val="none"/>
        </w:rPr>
      </w:pPr>
      <w:bookmarkStart w:id="343" w:name="_Toc33446080"/>
      <w:bookmarkStart w:id="344" w:name="_Toc427331245"/>
      <w:bookmarkStart w:id="345" w:name="_Toc133502202"/>
      <w:bookmarkStart w:id="346" w:name="_Toc33448407"/>
      <w:bookmarkStart w:id="347" w:name="_Toc8724"/>
      <w:bookmarkStart w:id="348" w:name="_Toc33092190"/>
      <w:bookmarkStart w:id="349" w:name="_Toc350865212"/>
      <w:bookmarkStart w:id="350" w:name="_Toc33445977"/>
      <w:bookmarkStart w:id="351" w:name="_Toc33445902"/>
      <w:bookmarkStart w:id="352" w:name="_Toc350865574"/>
      <w:bookmarkStart w:id="353" w:name="_Toc33448478"/>
      <w:r>
        <w:rPr>
          <w:rFonts w:hint="eastAsia"/>
          <w:color w:val="auto"/>
          <w:highlight w:val="none"/>
        </w:rPr>
        <w:t>1</w:t>
      </w:r>
      <w:r>
        <w:rPr>
          <w:color w:val="auto"/>
          <w:highlight w:val="none"/>
        </w:rPr>
        <w:t>0.</w:t>
      </w:r>
      <w:r>
        <w:rPr>
          <w:rFonts w:hint="eastAsia"/>
          <w:color w:val="auto"/>
          <w:highlight w:val="none"/>
        </w:rPr>
        <w:t>进度计划</w:t>
      </w:r>
      <w:bookmarkEnd w:id="343"/>
      <w:bookmarkEnd w:id="344"/>
      <w:bookmarkEnd w:id="345"/>
      <w:bookmarkEnd w:id="346"/>
      <w:bookmarkEnd w:id="347"/>
      <w:bookmarkEnd w:id="348"/>
      <w:bookmarkEnd w:id="349"/>
      <w:bookmarkEnd w:id="350"/>
      <w:bookmarkEnd w:id="351"/>
      <w:bookmarkEnd w:id="352"/>
      <w:bookmarkEnd w:id="353"/>
    </w:p>
    <w:p>
      <w:pPr>
        <w:pStyle w:val="6"/>
        <w:numPr>
          <w:ilvl w:val="1"/>
          <w:numId w:val="0"/>
        </w:numPr>
        <w:ind w:firstLine="422" w:firstLineChars="200"/>
        <w:rPr>
          <w:color w:val="auto"/>
          <w:highlight w:val="none"/>
        </w:rPr>
      </w:pPr>
      <w:r>
        <w:rPr>
          <w:rFonts w:hint="eastAsia"/>
          <w:color w:val="auto"/>
          <w:highlight w:val="none"/>
        </w:rPr>
        <w:t>10.1.合同进度计划</w:t>
      </w:r>
    </w:p>
    <w:p>
      <w:pPr>
        <w:pStyle w:val="7"/>
        <w:numPr>
          <w:ilvl w:val="2"/>
          <w:numId w:val="0"/>
        </w:numPr>
        <w:ind w:firstLine="420" w:firstLineChars="200"/>
        <w:rPr>
          <w:rFonts w:hAnsi="宋体"/>
          <w:color w:val="auto"/>
          <w:highlight w:val="none"/>
          <w:u w:val="single"/>
        </w:rPr>
      </w:pPr>
      <w:r>
        <w:rPr>
          <w:rFonts w:hint="eastAsia" w:hAnsi="宋体"/>
          <w:color w:val="auto"/>
          <w:highlight w:val="none"/>
        </w:rPr>
        <w:t>10.1.1.承包人向发包人提供的计划、报表名称及提交时间：</w:t>
      </w:r>
      <w:r>
        <w:rPr>
          <w:rFonts w:hint="eastAsia" w:hAnsi="宋体"/>
          <w:color w:val="auto"/>
          <w:highlight w:val="none"/>
          <w:u w:val="single"/>
        </w:rPr>
        <w:t xml:space="preserve"> 开工前一周按发包人、监理人要求提供施工组织计划及总进度计划、设备材料需求总计划（包括向发包人报批品牌系列、样板，采购供货合同签订，进场及施工安装）等资料。</w:t>
      </w:r>
    </w:p>
    <w:p>
      <w:pPr>
        <w:pStyle w:val="7"/>
        <w:numPr>
          <w:ilvl w:val="2"/>
          <w:numId w:val="0"/>
        </w:numPr>
        <w:ind w:firstLine="420" w:firstLineChars="200"/>
        <w:rPr>
          <w:rFonts w:hAnsi="宋体"/>
          <w:color w:val="auto"/>
          <w:highlight w:val="none"/>
        </w:rPr>
      </w:pPr>
      <w:r>
        <w:rPr>
          <w:rFonts w:hint="eastAsia" w:hAnsi="宋体"/>
          <w:color w:val="auto"/>
          <w:highlight w:val="none"/>
        </w:rPr>
        <w:t>10.1.2. 承包人每月25日前分别向发包人及监理人提供详细的上月20日至当月20日已完工程量报表（含材料进场记录等报表资料、设计变更及工程签证）及下月施工进度计划。</w:t>
      </w:r>
    </w:p>
    <w:p>
      <w:pPr>
        <w:pStyle w:val="5"/>
        <w:spacing w:before="156" w:beforeLines="50"/>
        <w:ind w:left="851"/>
        <w:rPr>
          <w:color w:val="auto"/>
          <w:highlight w:val="none"/>
        </w:rPr>
      </w:pPr>
      <w:r>
        <w:rPr>
          <w:color w:val="auto"/>
          <w:highlight w:val="none"/>
        </w:rPr>
        <w:t>11.</w:t>
      </w:r>
      <w:r>
        <w:rPr>
          <w:rFonts w:hint="eastAsia"/>
          <w:color w:val="auto"/>
          <w:highlight w:val="none"/>
        </w:rPr>
        <w:tab/>
      </w:r>
      <w:bookmarkStart w:id="354" w:name="_Toc33448479"/>
      <w:bookmarkStart w:id="355" w:name="_Toc33448408"/>
      <w:bookmarkStart w:id="356" w:name="_Toc30123"/>
      <w:bookmarkStart w:id="357" w:name="_Toc133502203"/>
      <w:bookmarkStart w:id="358" w:name="_Toc350865575"/>
      <w:bookmarkStart w:id="359" w:name="_Toc427331246"/>
      <w:bookmarkStart w:id="360" w:name="_Toc33092191"/>
      <w:bookmarkStart w:id="361" w:name="_Toc33445978"/>
      <w:bookmarkStart w:id="362" w:name="_Toc33445903"/>
      <w:bookmarkStart w:id="363" w:name="_Toc350865213"/>
      <w:bookmarkStart w:id="364" w:name="_Toc33446081"/>
      <w:r>
        <w:rPr>
          <w:rFonts w:hint="eastAsia"/>
          <w:color w:val="auto"/>
          <w:highlight w:val="none"/>
        </w:rPr>
        <w:t>开工和竣工</w:t>
      </w:r>
      <w:bookmarkEnd w:id="354"/>
      <w:bookmarkEnd w:id="355"/>
      <w:bookmarkEnd w:id="356"/>
      <w:bookmarkEnd w:id="357"/>
      <w:bookmarkEnd w:id="358"/>
      <w:bookmarkEnd w:id="359"/>
      <w:bookmarkEnd w:id="360"/>
      <w:bookmarkEnd w:id="361"/>
      <w:bookmarkEnd w:id="362"/>
      <w:bookmarkEnd w:id="363"/>
      <w:bookmarkEnd w:id="364"/>
    </w:p>
    <w:p>
      <w:pPr>
        <w:pStyle w:val="6"/>
        <w:numPr>
          <w:ilvl w:val="1"/>
          <w:numId w:val="0"/>
        </w:numPr>
        <w:ind w:firstLine="422" w:firstLineChars="200"/>
        <w:rPr>
          <w:color w:val="auto"/>
          <w:highlight w:val="none"/>
        </w:rPr>
      </w:pPr>
      <w:r>
        <w:rPr>
          <w:rFonts w:hint="eastAsia"/>
          <w:color w:val="auto"/>
          <w:highlight w:val="none"/>
        </w:rPr>
        <w:t>11.3. 发包人的工期延误</w:t>
      </w:r>
    </w:p>
    <w:p>
      <w:pPr>
        <w:pStyle w:val="7"/>
        <w:numPr>
          <w:ilvl w:val="2"/>
          <w:numId w:val="0"/>
        </w:numPr>
        <w:ind w:firstLine="420" w:firstLineChars="200"/>
        <w:rPr>
          <w:rFonts w:hAnsi="宋体"/>
          <w:color w:val="auto"/>
          <w:highlight w:val="none"/>
        </w:rPr>
      </w:pPr>
      <w:r>
        <w:rPr>
          <w:rFonts w:hint="eastAsia" w:hAnsi="宋体"/>
          <w:color w:val="auto"/>
          <w:highlight w:val="none"/>
        </w:rPr>
        <w:t>11.3.1. 合同当事人双方约定工期顺延的其他情况：</w:t>
      </w:r>
      <w:r>
        <w:rPr>
          <w:rFonts w:hint="eastAsia" w:hAnsi="宋体"/>
          <w:color w:val="auto"/>
          <w:highlight w:val="none"/>
          <w:u w:val="single"/>
        </w:rPr>
        <w:t>无。</w:t>
      </w:r>
    </w:p>
    <w:p>
      <w:pPr>
        <w:pStyle w:val="6"/>
        <w:numPr>
          <w:ilvl w:val="1"/>
          <w:numId w:val="0"/>
        </w:numPr>
        <w:ind w:firstLine="422" w:firstLineChars="200"/>
        <w:rPr>
          <w:color w:val="auto"/>
          <w:highlight w:val="none"/>
        </w:rPr>
      </w:pPr>
      <w:r>
        <w:rPr>
          <w:rFonts w:hint="eastAsia"/>
          <w:color w:val="auto"/>
          <w:highlight w:val="none"/>
        </w:rPr>
        <w:t>11.4. 异常恶劣的气候条件</w:t>
      </w:r>
    </w:p>
    <w:p>
      <w:pPr>
        <w:pStyle w:val="7"/>
        <w:numPr>
          <w:ilvl w:val="2"/>
          <w:numId w:val="0"/>
        </w:numPr>
        <w:ind w:firstLine="420" w:firstLineChars="200"/>
        <w:rPr>
          <w:rFonts w:hAnsi="宋体"/>
          <w:color w:val="auto"/>
          <w:highlight w:val="none"/>
        </w:rPr>
      </w:pPr>
      <w:r>
        <w:rPr>
          <w:rFonts w:hint="eastAsia" w:hAnsi="宋体"/>
          <w:color w:val="auto"/>
          <w:highlight w:val="none"/>
        </w:rPr>
        <w:t>11.4.1. 异常恶劣的气候条件是指:</w:t>
      </w:r>
      <w:r>
        <w:rPr>
          <w:rFonts w:hint="eastAsia" w:hAnsi="宋体"/>
          <w:color w:val="auto"/>
          <w:highlight w:val="none"/>
          <w:u w:val="single"/>
        </w:rPr>
        <w:t xml:space="preserve">  24小时内（午夜至午夜）当地气象局记录显示降雨量150 mm或以上或8级及以上的大风</w:t>
      </w:r>
      <w:r>
        <w:rPr>
          <w:rFonts w:hint="eastAsia" w:hAnsi="宋体"/>
          <w:color w:val="auto"/>
          <w:highlight w:val="none"/>
        </w:rPr>
        <w:t>。</w:t>
      </w:r>
    </w:p>
    <w:p>
      <w:pPr>
        <w:rPr>
          <w:color w:val="auto"/>
          <w:highlight w:val="none"/>
        </w:rPr>
      </w:pPr>
      <w:r>
        <w:rPr>
          <w:color w:val="auto"/>
          <w:highlight w:val="none"/>
        </w:rPr>
        <w:t xml:space="preserve">       </w:t>
      </w:r>
      <w:r>
        <w:rPr>
          <w:rFonts w:ascii="宋体" w:hAnsi="宋体"/>
          <w:b/>
          <w:bCs/>
          <w:snapToGrid w:val="0"/>
          <w:color w:val="auto"/>
          <w:kern w:val="0"/>
          <w:szCs w:val="32"/>
          <w:highlight w:val="none"/>
        </w:rPr>
        <w:t xml:space="preserve"> </w:t>
      </w:r>
      <w:r>
        <w:rPr>
          <w:rFonts w:hint="eastAsia" w:ascii="宋体" w:hAnsi="宋体"/>
          <w:b/>
          <w:bCs/>
          <w:snapToGrid w:val="0"/>
          <w:color w:val="auto"/>
          <w:kern w:val="0"/>
          <w:szCs w:val="32"/>
          <w:highlight w:val="none"/>
        </w:rPr>
        <w:t>11.5. 承包人的工期延误</w:t>
      </w:r>
    </w:p>
    <w:p>
      <w:pPr>
        <w:spacing w:line="360" w:lineRule="auto"/>
        <w:rPr>
          <w:color w:val="auto"/>
          <w:highlight w:val="none"/>
        </w:rPr>
      </w:pPr>
      <w:r>
        <w:rPr>
          <w:color w:val="auto"/>
          <w:highlight w:val="none"/>
        </w:rPr>
        <w:t xml:space="preserve">         </w:t>
      </w:r>
      <w:r>
        <w:rPr>
          <w:rFonts w:hint="eastAsia"/>
          <w:color w:val="auto"/>
          <w:highlight w:val="none"/>
        </w:rPr>
        <w:t>11.5.1. 对承包人工期延误的约定</w:t>
      </w:r>
    </w:p>
    <w:p>
      <w:pPr>
        <w:spacing w:line="360" w:lineRule="auto"/>
        <w:rPr>
          <w:color w:val="auto"/>
          <w:highlight w:val="none"/>
        </w:rPr>
      </w:pPr>
      <w:r>
        <w:rPr>
          <w:color w:val="auto"/>
          <w:highlight w:val="none"/>
        </w:rPr>
        <w:t xml:space="preserve">      </w:t>
      </w:r>
      <w:r>
        <w:rPr>
          <w:rFonts w:hint="eastAsia"/>
          <w:color w:val="auto"/>
          <w:highlight w:val="none"/>
        </w:rPr>
        <w:t>1）</w:t>
      </w:r>
      <w:r>
        <w:rPr>
          <w:rFonts w:hint="eastAsia"/>
          <w:color w:val="auto"/>
          <w:highlight w:val="none"/>
        </w:rPr>
        <w:tab/>
      </w:r>
      <w:r>
        <w:rPr>
          <w:rFonts w:hint="eastAsia"/>
          <w:color w:val="auto"/>
          <w:highlight w:val="none"/>
        </w:rPr>
        <w:t xml:space="preserve">承包人原因导致工程不能按合同竣工日期验收合格或移交发包人的，每延误一天，承包人应按签约合同价格的万分之五向发包人支付违约金（如果工期延误引起小业主或其他人相关损失，承包人应负全部赔偿责任）。发包人可从应向承包人支付的进度款及结算款中扣除此项违约金，不足部分由承包人另行赔偿，此赔偿费的支付并不能解除承包人应完成工程的责任或本合同规定的其他责任。 </w:t>
      </w:r>
    </w:p>
    <w:p>
      <w:pPr>
        <w:spacing w:line="360" w:lineRule="auto"/>
        <w:rPr>
          <w:color w:val="auto"/>
          <w:highlight w:val="none"/>
        </w:rPr>
      </w:pPr>
      <w:r>
        <w:rPr>
          <w:rFonts w:hint="eastAsia"/>
          <w:color w:val="auto"/>
          <w:highlight w:val="none"/>
        </w:rPr>
        <w:t xml:space="preserve">2）如因承包人责任造成实际施工进度滞后于合同规定的控制节点超过20天，发包人有权单方面解除合同或将承包人所承包的部分工程委托给第三方单位负责施工，由此造成的一切损失均由承包人负责。发包人将该部分工程直接委托给第三方单位负责施工且与第三方单位直接发生合同关系的，则应相应调减本合同承包范围及合同价款，同时承包人应按第三方单位实施该部分工程造价的20%向发包人支付违约金，同时承担工期等违约责任及发包人相关损失。发包人单方面解除合同的，承包人应补偿发包人及其他相关专业承包人等的所有损失。 </w:t>
      </w:r>
    </w:p>
    <w:p>
      <w:pPr>
        <w:spacing w:line="360" w:lineRule="auto"/>
        <w:rPr>
          <w:color w:val="auto"/>
          <w:highlight w:val="none"/>
        </w:rPr>
      </w:pPr>
      <w:r>
        <w:rPr>
          <w:color w:val="auto"/>
          <w:highlight w:val="none"/>
        </w:rPr>
        <w:t xml:space="preserve">    </w:t>
      </w:r>
      <w:r>
        <w:rPr>
          <w:rFonts w:hint="eastAsia"/>
          <w:color w:val="auto"/>
          <w:highlight w:val="none"/>
        </w:rPr>
        <w:t>11.6. 工期提前</w:t>
      </w:r>
    </w:p>
    <w:p>
      <w:pPr>
        <w:spacing w:line="360" w:lineRule="auto"/>
        <w:rPr>
          <w:color w:val="auto"/>
          <w:highlight w:val="none"/>
        </w:rPr>
      </w:pPr>
      <w:r>
        <w:rPr>
          <w:rFonts w:hint="eastAsia"/>
          <w:color w:val="auto"/>
          <w:highlight w:val="none"/>
        </w:rPr>
        <w:t xml:space="preserve">11.6.1. 承包人按合同工期要求按时完成合同内容的不奖不罚，在此基础上如发包人要求提前完成关键节点或提前验收时，合同当事人双方可签订提前竣工补充协议，承包人按新的工期要求重新制定施工计划报发包人确认后执行。如发包人未要求提前完成关键节点或提前验收，承包人的实际竣工日期比合同工期提前时，发包人无须支付赶工措施费。    </w:t>
      </w:r>
    </w:p>
    <w:p>
      <w:pPr>
        <w:spacing w:line="360" w:lineRule="auto"/>
        <w:rPr>
          <w:b/>
          <w:bCs/>
          <w:color w:val="auto"/>
          <w:highlight w:val="none"/>
        </w:rPr>
      </w:pPr>
      <w:r>
        <w:rPr>
          <w:b/>
          <w:bCs/>
          <w:color w:val="auto"/>
          <w:highlight w:val="none"/>
        </w:rPr>
        <w:t>12.</w:t>
      </w:r>
      <w:r>
        <w:rPr>
          <w:rFonts w:hint="eastAsia"/>
          <w:b/>
          <w:bCs/>
          <w:color w:val="auto"/>
          <w:highlight w:val="none"/>
        </w:rPr>
        <w:tab/>
      </w:r>
      <w:bookmarkStart w:id="365" w:name="_Toc30261"/>
      <w:bookmarkStart w:id="366" w:name="_Toc33448409"/>
      <w:bookmarkStart w:id="367" w:name="_Toc350865214"/>
      <w:bookmarkStart w:id="368" w:name="_Toc350865576"/>
      <w:bookmarkStart w:id="369" w:name="_Toc133502204"/>
      <w:bookmarkStart w:id="370" w:name="_Toc427331247"/>
      <w:bookmarkStart w:id="371" w:name="_Toc33092192"/>
      <w:bookmarkStart w:id="372" w:name="_Toc33448480"/>
      <w:bookmarkStart w:id="373" w:name="_Toc33445979"/>
      <w:bookmarkStart w:id="374" w:name="_Toc33445904"/>
      <w:bookmarkStart w:id="375" w:name="_Toc33446082"/>
      <w:r>
        <w:rPr>
          <w:rFonts w:hint="eastAsia"/>
          <w:b/>
          <w:bCs/>
          <w:color w:val="auto"/>
          <w:highlight w:val="none"/>
        </w:rPr>
        <w:t>暂停施工</w:t>
      </w:r>
      <w:bookmarkEnd w:id="365"/>
      <w:bookmarkEnd w:id="366"/>
      <w:bookmarkEnd w:id="367"/>
      <w:bookmarkEnd w:id="368"/>
      <w:bookmarkEnd w:id="369"/>
      <w:bookmarkEnd w:id="370"/>
      <w:bookmarkEnd w:id="371"/>
      <w:bookmarkEnd w:id="372"/>
      <w:bookmarkEnd w:id="373"/>
      <w:bookmarkEnd w:id="374"/>
      <w:bookmarkEnd w:id="375"/>
    </w:p>
    <w:p>
      <w:pPr>
        <w:pStyle w:val="6"/>
        <w:numPr>
          <w:ilvl w:val="1"/>
          <w:numId w:val="0"/>
        </w:numPr>
        <w:ind w:firstLine="422" w:firstLineChars="200"/>
        <w:rPr>
          <w:color w:val="auto"/>
          <w:highlight w:val="none"/>
        </w:rPr>
      </w:pPr>
      <w:r>
        <w:rPr>
          <w:rFonts w:hint="eastAsia"/>
          <w:color w:val="auto"/>
          <w:highlight w:val="none"/>
        </w:rPr>
        <w:t>12.2.发包人暂停施工的责任</w:t>
      </w:r>
    </w:p>
    <w:p>
      <w:pPr>
        <w:pStyle w:val="7"/>
        <w:numPr>
          <w:ilvl w:val="2"/>
          <w:numId w:val="0"/>
        </w:numPr>
        <w:ind w:firstLine="420" w:firstLineChars="200"/>
        <w:rPr>
          <w:rFonts w:hAnsi="宋体"/>
          <w:color w:val="auto"/>
          <w:highlight w:val="none"/>
        </w:rPr>
      </w:pPr>
      <w:r>
        <w:rPr>
          <w:rFonts w:hint="eastAsia" w:hAnsi="宋体"/>
          <w:color w:val="auto"/>
          <w:highlight w:val="none"/>
        </w:rPr>
        <w:t>12.2.1.工程实施过程中，非承包人原因引起的工程暂停时间，如果累计在60天之内，工期相应顺延，但承包人不得因此向发包人提出任何费用的索赔或补偿要求；暂停时间超过60天的，双方应对工期延长、责任认定和费用承担等进行协商并达成补充协议。</w:t>
      </w:r>
    </w:p>
    <w:p>
      <w:pPr>
        <w:pStyle w:val="6"/>
        <w:numPr>
          <w:ilvl w:val="1"/>
          <w:numId w:val="0"/>
        </w:numPr>
        <w:ind w:firstLine="422" w:firstLineChars="200"/>
        <w:rPr>
          <w:color w:val="auto"/>
          <w:highlight w:val="none"/>
        </w:rPr>
      </w:pPr>
      <w:r>
        <w:rPr>
          <w:rFonts w:hint="eastAsia"/>
          <w:color w:val="auto"/>
          <w:highlight w:val="none"/>
        </w:rPr>
        <w:t>12.4.暂停施工后的复工</w:t>
      </w:r>
    </w:p>
    <w:p>
      <w:pPr>
        <w:pStyle w:val="7"/>
        <w:numPr>
          <w:ilvl w:val="2"/>
          <w:numId w:val="0"/>
        </w:numPr>
        <w:ind w:firstLine="420" w:firstLineChars="200"/>
        <w:rPr>
          <w:rFonts w:hAnsi="宋体"/>
          <w:color w:val="auto"/>
          <w:highlight w:val="none"/>
        </w:rPr>
      </w:pPr>
      <w:r>
        <w:rPr>
          <w:rFonts w:hint="eastAsia" w:hAnsi="宋体"/>
          <w:color w:val="auto"/>
          <w:highlight w:val="none"/>
        </w:rPr>
        <w:t>12.4.1.由于发包人责任引起的暂停施工，监理人经发包人同意后发出暂停施工指示后56天内未向承包人发出复工通知，承包人可向监理人和发包人提交书面通知，要求监理人和发包人在收到书面通知后28天内准许已暂停施工的工程或其中一部分工程继续施工。如果发包人准许已暂停施工的工程或其中一部分工程恢复施工，则承包人应合理安排人员组织恢复施工。</w:t>
      </w:r>
    </w:p>
    <w:p>
      <w:pPr>
        <w:pStyle w:val="5"/>
        <w:spacing w:before="156" w:beforeLines="50"/>
        <w:ind w:left="562"/>
        <w:rPr>
          <w:color w:val="auto"/>
          <w:highlight w:val="none"/>
        </w:rPr>
      </w:pPr>
      <w:bookmarkStart w:id="376" w:name="_Toc350865215"/>
      <w:bookmarkStart w:id="377" w:name="_Toc33448410"/>
      <w:bookmarkStart w:id="378" w:name="_Toc427331248"/>
      <w:bookmarkStart w:id="379" w:name="_Toc15705"/>
      <w:bookmarkStart w:id="380" w:name="_Toc33446083"/>
      <w:bookmarkStart w:id="381" w:name="_Toc33445980"/>
      <w:bookmarkStart w:id="382" w:name="_Toc133502205"/>
      <w:bookmarkStart w:id="383" w:name="_Toc350865577"/>
      <w:bookmarkStart w:id="384" w:name="_Toc33092193"/>
      <w:bookmarkStart w:id="385" w:name="_Toc33445905"/>
      <w:bookmarkStart w:id="386" w:name="_Toc33448481"/>
      <w:r>
        <w:rPr>
          <w:rFonts w:hint="eastAsia"/>
          <w:color w:val="auto"/>
          <w:highlight w:val="none"/>
        </w:rPr>
        <w:t>1</w:t>
      </w:r>
      <w:r>
        <w:rPr>
          <w:color w:val="auto"/>
          <w:highlight w:val="none"/>
        </w:rPr>
        <w:t>3.</w:t>
      </w:r>
      <w:r>
        <w:rPr>
          <w:rFonts w:hint="eastAsia"/>
          <w:color w:val="auto"/>
          <w:highlight w:val="none"/>
        </w:rPr>
        <w:t>工程质量</w:t>
      </w:r>
      <w:bookmarkEnd w:id="376"/>
      <w:bookmarkEnd w:id="377"/>
      <w:bookmarkEnd w:id="378"/>
      <w:bookmarkEnd w:id="379"/>
      <w:bookmarkEnd w:id="380"/>
      <w:bookmarkEnd w:id="381"/>
      <w:bookmarkEnd w:id="382"/>
      <w:bookmarkEnd w:id="383"/>
      <w:bookmarkEnd w:id="384"/>
      <w:bookmarkEnd w:id="385"/>
      <w:bookmarkEnd w:id="386"/>
    </w:p>
    <w:p>
      <w:pPr>
        <w:pStyle w:val="6"/>
        <w:numPr>
          <w:ilvl w:val="1"/>
          <w:numId w:val="0"/>
        </w:numPr>
        <w:ind w:firstLine="422" w:firstLineChars="200"/>
        <w:rPr>
          <w:color w:val="auto"/>
          <w:highlight w:val="none"/>
        </w:rPr>
      </w:pPr>
      <w:r>
        <w:rPr>
          <w:rFonts w:hint="eastAsia"/>
          <w:color w:val="auto"/>
          <w:highlight w:val="none"/>
        </w:rPr>
        <w:t>13.1. 工程质量要求</w:t>
      </w:r>
    </w:p>
    <w:p>
      <w:pPr>
        <w:pStyle w:val="7"/>
        <w:numPr>
          <w:ilvl w:val="2"/>
          <w:numId w:val="0"/>
        </w:numPr>
        <w:ind w:firstLine="420" w:firstLineChars="200"/>
        <w:rPr>
          <w:rFonts w:hAnsi="宋体"/>
          <w:color w:val="auto"/>
          <w:highlight w:val="none"/>
        </w:rPr>
      </w:pPr>
      <w:r>
        <w:rPr>
          <w:rFonts w:hint="eastAsia" w:hAnsi="宋体"/>
          <w:color w:val="auto"/>
          <w:highlight w:val="none"/>
        </w:rPr>
        <w:t>13.1.2.工程质量必须达到合同约定的质量标准。若第一次竣工验收工程质量达不到本合同约定的质量标准要求，发包人有权要求承包人承担严重违约责任，发包人有权在工程结算款中直接扣除该违约金，承包人不得有异议，同时承包人必须按发包人和监理人指定的期限对不合格工程返工、修复或采取发包人认可的其他补救措施，使之达到合同约定的质量标准要求、且工期不予顺延。发包方或监理人指定的期限届满，承包人返工、修复和（或）采取其他补救措施后重新验收仍未通过，即该部分工程仍不合格的，发包人无须支付该部分对应的合同价款，且承包人还须承担重大违约责任；发包人可委托第三方返工、修复和（或）采取其他补救措施，费用及逾期竣工的违约责任由承包人承担，发包人可在应付承包人工程价款中直接扣付；发包人在确保安全等前提下让步接受工程的，视实际情况减付相应价款，承包人并应承担重大违约责任。完成返工、修复和（或）采取其他补救措施、达到合同验收标准的时间比合同约定时间推迟的，承包人应按延期竣工、延期交付工程支付逾期违约金。</w:t>
      </w:r>
    </w:p>
    <w:p>
      <w:pPr>
        <w:pStyle w:val="7"/>
        <w:numPr>
          <w:ilvl w:val="2"/>
          <w:numId w:val="0"/>
        </w:numPr>
        <w:ind w:firstLine="420" w:firstLineChars="200"/>
        <w:rPr>
          <w:rFonts w:hAnsi="宋体"/>
          <w:color w:val="auto"/>
          <w:highlight w:val="none"/>
        </w:rPr>
      </w:pPr>
      <w:r>
        <w:rPr>
          <w:rFonts w:hint="eastAsia" w:hAnsi="宋体"/>
          <w:color w:val="auto"/>
          <w:highlight w:val="none"/>
        </w:rPr>
        <w:t>13.1.3.承包人在施工过程中，因质量问题需对已完工程进行整改、返工的，产生的费用由承包人全部负责。若承包人有违反质量评定标准的质量问题，每次（项）须承担一般违约责任，同时亦不免除、也不减轻承包人对不合格工程进行整改、返工的责任。</w:t>
      </w:r>
    </w:p>
    <w:p>
      <w:pPr>
        <w:pStyle w:val="7"/>
        <w:numPr>
          <w:ilvl w:val="2"/>
          <w:numId w:val="0"/>
        </w:numPr>
        <w:ind w:firstLine="420" w:firstLineChars="200"/>
        <w:rPr>
          <w:rFonts w:hAnsi="宋体"/>
          <w:color w:val="auto"/>
          <w:highlight w:val="none"/>
        </w:rPr>
      </w:pPr>
      <w:r>
        <w:rPr>
          <w:rFonts w:hint="eastAsia" w:hAnsi="宋体"/>
          <w:color w:val="auto"/>
          <w:highlight w:val="none"/>
        </w:rPr>
        <w:t>13.1.4.承包人未按发包人审定的施工方案、施工工艺进行施工的，每次（项）须承担一般违约责任，同时亦不免除、也不减轻承包人对不合格施工方案、施工工艺的整改责任。</w:t>
      </w:r>
    </w:p>
    <w:p>
      <w:pPr>
        <w:pStyle w:val="7"/>
        <w:numPr>
          <w:ilvl w:val="2"/>
          <w:numId w:val="0"/>
        </w:numPr>
        <w:ind w:firstLine="420" w:firstLineChars="200"/>
        <w:rPr>
          <w:rFonts w:hAnsi="宋体"/>
          <w:color w:val="auto"/>
          <w:highlight w:val="none"/>
        </w:rPr>
      </w:pPr>
      <w:r>
        <w:rPr>
          <w:rFonts w:hint="eastAsia" w:hAnsi="宋体"/>
          <w:color w:val="auto"/>
          <w:highlight w:val="none"/>
        </w:rPr>
        <w:t>13.1.5.承包人对监理通知指出的质量问题未按时整改并回复，承包人应限期整改完成并向发包人承担一般违约责任。</w:t>
      </w:r>
    </w:p>
    <w:p>
      <w:pPr>
        <w:pStyle w:val="7"/>
        <w:numPr>
          <w:ilvl w:val="2"/>
          <w:numId w:val="0"/>
        </w:numPr>
        <w:ind w:firstLine="420" w:firstLineChars="200"/>
        <w:rPr>
          <w:rFonts w:hAnsi="宋体"/>
          <w:color w:val="auto"/>
          <w:highlight w:val="none"/>
        </w:rPr>
      </w:pPr>
      <w:r>
        <w:rPr>
          <w:rFonts w:hint="eastAsia" w:hAnsi="宋体"/>
          <w:color w:val="auto"/>
          <w:highlight w:val="none"/>
        </w:rPr>
        <w:t>13.1.6.因承包人原因出现质量问题影响其他分包施工的，承包人应限期整改完成并向发包人承担一般违约责任。</w:t>
      </w:r>
    </w:p>
    <w:p>
      <w:pPr>
        <w:pStyle w:val="7"/>
        <w:numPr>
          <w:ilvl w:val="2"/>
          <w:numId w:val="0"/>
        </w:numPr>
        <w:ind w:firstLine="420" w:firstLineChars="200"/>
        <w:rPr>
          <w:rFonts w:hAnsi="宋体"/>
          <w:color w:val="auto"/>
          <w:highlight w:val="none"/>
        </w:rPr>
      </w:pPr>
      <w:r>
        <w:rPr>
          <w:rFonts w:hint="eastAsia" w:hAnsi="宋体"/>
          <w:color w:val="auto"/>
          <w:highlight w:val="none"/>
        </w:rPr>
        <w:t>13.1.7.工程施工期间和缺陷责任期内，由于承包人责任出现质量问题、安全事故或者其他原因，使发包人或项目受到报纸、电视等媒体的曝光或政府有关主管部门的通报批评的，每出现一次，承包人应向发包人承担重大违约责任。</w:t>
      </w:r>
    </w:p>
    <w:p>
      <w:pPr>
        <w:pStyle w:val="7"/>
        <w:numPr>
          <w:ilvl w:val="2"/>
          <w:numId w:val="0"/>
        </w:numPr>
        <w:ind w:firstLine="420" w:firstLineChars="200"/>
        <w:rPr>
          <w:rFonts w:hAnsi="宋体"/>
          <w:color w:val="auto"/>
          <w:highlight w:val="none"/>
        </w:rPr>
      </w:pPr>
      <w:r>
        <w:rPr>
          <w:rFonts w:hint="eastAsia" w:hAnsi="宋体"/>
          <w:color w:val="auto"/>
          <w:highlight w:val="none"/>
        </w:rPr>
        <w:t>13.1.8.承包人未经报验，擅自进行下道工序施工的，承包人应拆除擅自施工的部位，并向发包人承担一般违约责任。</w:t>
      </w:r>
    </w:p>
    <w:p>
      <w:pPr>
        <w:pStyle w:val="5"/>
        <w:spacing w:before="156" w:beforeLines="50"/>
        <w:ind w:left="562"/>
        <w:rPr>
          <w:color w:val="auto"/>
          <w:highlight w:val="none"/>
        </w:rPr>
      </w:pPr>
      <w:r>
        <w:rPr>
          <w:color w:val="auto"/>
          <w:highlight w:val="none"/>
        </w:rPr>
        <w:t>14.</w:t>
      </w:r>
      <w:bookmarkStart w:id="387" w:name="_Toc427331249"/>
      <w:bookmarkStart w:id="388" w:name="_Toc7572"/>
      <w:bookmarkStart w:id="389" w:name="_Toc33092194"/>
      <w:bookmarkStart w:id="390" w:name="_Toc33448411"/>
      <w:bookmarkStart w:id="391" w:name="_Toc33445981"/>
      <w:bookmarkStart w:id="392" w:name="_Toc350865578"/>
      <w:bookmarkStart w:id="393" w:name="_Toc33445906"/>
      <w:bookmarkStart w:id="394" w:name="_Toc350865216"/>
      <w:bookmarkStart w:id="395" w:name="_Toc133502206"/>
      <w:bookmarkStart w:id="396" w:name="_Toc33446084"/>
      <w:bookmarkStart w:id="397" w:name="_Toc33448482"/>
      <w:r>
        <w:rPr>
          <w:rFonts w:hint="eastAsia"/>
          <w:color w:val="auto"/>
          <w:highlight w:val="none"/>
        </w:rPr>
        <w:t>试验和检验</w:t>
      </w:r>
      <w:bookmarkEnd w:id="387"/>
      <w:bookmarkEnd w:id="388"/>
      <w:bookmarkEnd w:id="389"/>
      <w:bookmarkEnd w:id="390"/>
      <w:bookmarkEnd w:id="391"/>
      <w:bookmarkEnd w:id="392"/>
      <w:bookmarkEnd w:id="393"/>
      <w:bookmarkEnd w:id="394"/>
      <w:bookmarkEnd w:id="395"/>
      <w:bookmarkEnd w:id="396"/>
      <w:bookmarkEnd w:id="397"/>
    </w:p>
    <w:p>
      <w:pPr>
        <w:pStyle w:val="6"/>
        <w:rPr>
          <w:color w:val="auto"/>
          <w:highlight w:val="none"/>
        </w:rPr>
      </w:pPr>
      <w:r>
        <w:rPr>
          <w:rFonts w:hint="eastAsia"/>
          <w:color w:val="auto"/>
          <w:highlight w:val="none"/>
        </w:rPr>
        <w:t>14.1发包人抽检：除根据政策要求的第三方检测和监理相关检测外，根据工程实际情况，发包人对有疑问、高价值、对效果有重大影响、易产生不合格品的材料设备有权实施抽检，发包人抽检清单内的抽检不得提出工期索赔。检验的结果证明该项材料、设备不符合合同要求的，因此增加的费用和（或）工期延误由承包人承担，如果因此给发包人造成损失，承包人应当全额赔偿；检验结果证明该项材料、设备符合合同要求的，由发包人承担本次抽检的检验费用，工期不予顺延。</w:t>
      </w:r>
    </w:p>
    <w:p>
      <w:pPr>
        <w:pStyle w:val="6"/>
        <w:rPr>
          <w:color w:val="auto"/>
          <w:sz w:val="32"/>
          <w:szCs w:val="48"/>
          <w:highlight w:val="none"/>
        </w:rPr>
      </w:pPr>
      <w:r>
        <w:rPr>
          <w:color w:val="auto"/>
          <w:sz w:val="32"/>
          <w:szCs w:val="48"/>
          <w:highlight w:val="none"/>
        </w:rPr>
        <w:t>15.</w:t>
      </w:r>
      <w:r>
        <w:rPr>
          <w:rFonts w:hint="eastAsia"/>
          <w:color w:val="auto"/>
          <w:sz w:val="32"/>
          <w:szCs w:val="48"/>
          <w:highlight w:val="none"/>
        </w:rPr>
        <w:tab/>
      </w:r>
      <w:bookmarkStart w:id="398" w:name="_Toc350865579"/>
      <w:bookmarkStart w:id="399" w:name="_Toc27680"/>
      <w:bookmarkStart w:id="400" w:name="_Toc33445907"/>
      <w:bookmarkStart w:id="401" w:name="_Toc33446085"/>
      <w:bookmarkStart w:id="402" w:name="_Toc427331250"/>
      <w:bookmarkStart w:id="403" w:name="_Toc33445982"/>
      <w:bookmarkStart w:id="404" w:name="_Toc33448412"/>
      <w:bookmarkStart w:id="405" w:name="_Toc33448483"/>
      <w:bookmarkStart w:id="406" w:name="_Toc350865217"/>
      <w:bookmarkStart w:id="407" w:name="_Toc33092195"/>
      <w:bookmarkStart w:id="408" w:name="_Toc133502207"/>
      <w:r>
        <w:rPr>
          <w:rFonts w:hint="eastAsia"/>
          <w:color w:val="auto"/>
          <w:sz w:val="32"/>
          <w:szCs w:val="48"/>
          <w:highlight w:val="none"/>
        </w:rPr>
        <w:t>变更</w:t>
      </w:r>
      <w:bookmarkEnd w:id="398"/>
      <w:bookmarkEnd w:id="399"/>
      <w:bookmarkEnd w:id="400"/>
      <w:bookmarkEnd w:id="401"/>
      <w:bookmarkEnd w:id="402"/>
      <w:bookmarkEnd w:id="403"/>
      <w:bookmarkEnd w:id="404"/>
      <w:bookmarkEnd w:id="405"/>
      <w:bookmarkEnd w:id="406"/>
      <w:bookmarkEnd w:id="407"/>
      <w:bookmarkEnd w:id="408"/>
    </w:p>
    <w:p>
      <w:pPr>
        <w:spacing w:line="360" w:lineRule="auto"/>
        <w:rPr>
          <w:rFonts w:ascii="宋体" w:hAnsi="宋体"/>
          <w:b/>
          <w:bCs/>
          <w:snapToGrid w:val="0"/>
          <w:color w:val="auto"/>
          <w:kern w:val="0"/>
          <w:szCs w:val="20"/>
          <w:highlight w:val="none"/>
        </w:rPr>
      </w:pP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ab/>
      </w:r>
      <w:r>
        <w:rPr>
          <w:rFonts w:hint="eastAsia" w:ascii="宋体" w:hAnsi="宋体"/>
          <w:b/>
          <w:bCs/>
          <w:snapToGrid w:val="0"/>
          <w:color w:val="auto"/>
          <w:kern w:val="0"/>
          <w:szCs w:val="20"/>
          <w:highlight w:val="none"/>
        </w:rPr>
        <w:t>15.1变更程序</w:t>
      </w:r>
    </w:p>
    <w:p>
      <w:pPr>
        <w:spacing w:line="360" w:lineRule="auto"/>
        <w:rPr>
          <w:rFonts w:ascii="宋体" w:hAnsi="宋体"/>
          <w:b/>
          <w:bCs/>
          <w:snapToGrid w:val="0"/>
          <w:color w:val="auto"/>
          <w:kern w:val="0"/>
          <w:szCs w:val="20"/>
          <w:highlight w:val="none"/>
        </w:rPr>
      </w:pPr>
      <w:r>
        <w:rPr>
          <w:rFonts w:ascii="宋体" w:hAnsi="宋体"/>
          <w:b/>
          <w:bCs/>
          <w:snapToGrid w:val="0"/>
          <w:color w:val="auto"/>
          <w:kern w:val="0"/>
          <w:szCs w:val="20"/>
          <w:highlight w:val="none"/>
        </w:rPr>
        <w:t xml:space="preserve">    </w:t>
      </w:r>
      <w:r>
        <w:rPr>
          <w:rFonts w:hint="eastAsia" w:ascii="宋体" w:hAnsi="宋体"/>
          <w:b/>
          <w:bCs/>
          <w:snapToGrid w:val="0"/>
          <w:color w:val="auto"/>
          <w:kern w:val="0"/>
          <w:szCs w:val="20"/>
          <w:highlight w:val="none"/>
        </w:rPr>
        <w:t>15.1.1通用条款15.1.1.修订为：</w:t>
      </w:r>
    </w:p>
    <w:p>
      <w:pPr>
        <w:spacing w:line="360" w:lineRule="auto"/>
        <w:rPr>
          <w:rFonts w:ascii="宋体" w:hAnsi="宋体"/>
          <w:snapToGrid w:val="0"/>
          <w:color w:val="auto"/>
          <w:kern w:val="0"/>
          <w:szCs w:val="20"/>
          <w:highlight w:val="none"/>
        </w:rPr>
      </w:pP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1) 发包人向承包人下发变更指令。承包人接到发包人的变更通知后，有义务在3天内（变更较大时可征得发包人同意后适当延长）向发包人提交书面建议报告。若发包人要求承包人立刻实施变更的，承包人应无条件执行。</w:t>
      </w:r>
    </w:p>
    <w:p>
      <w:pPr>
        <w:spacing w:line="360" w:lineRule="auto"/>
        <w:rPr>
          <w:rFonts w:ascii="宋体" w:hAnsi="宋体"/>
          <w:snapToGrid w:val="0"/>
          <w:color w:val="auto"/>
          <w:kern w:val="0"/>
          <w:szCs w:val="20"/>
          <w:highlight w:val="none"/>
        </w:rPr>
      </w:pP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2)承包人向发包人提交的书面建议报告中应包括但不限于：支持此项变更的理由、实施此项变更的工作内容、设备、材料、人力、机具、周转材料、消耗材料等资源消耗，以及相关管理费用和合理利润的估算。此项变更引起竣工日期延长时，应在报告中说明理由，并提交与此变更相关的进度计划。承包人未提交增加费用的估算及完工日期或竣工日期延长，视为该项变更不涉及合同价格调整或完全接受发包人主张的变更价款和不涉及完工日期或竣工日期延长。</w:t>
      </w:r>
    </w:p>
    <w:p>
      <w:pPr>
        <w:spacing w:line="360" w:lineRule="auto"/>
        <w:rPr>
          <w:rFonts w:ascii="宋体" w:hAnsi="宋体"/>
          <w:snapToGrid w:val="0"/>
          <w:color w:val="auto"/>
          <w:kern w:val="0"/>
          <w:szCs w:val="20"/>
          <w:highlight w:val="none"/>
        </w:rPr>
      </w:pP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3) 如承包人不接受发包人变更通知中的变更时，建议报告中应包括不支持此项变更的理由，理由包括但不限于：</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 xml:space="preserve"> （1）此变更不符合法律、法规等有关规定；</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 xml:space="preserve"> （2）承包人难以取得变更所需的特殊设备、材料、部件；</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 xml:space="preserve"> （3）承包人难以取得变更所需的工艺、技术；</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 xml:space="preserve"> （4）变更将降低工程的安全性、稳定性、适用性；</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 xml:space="preserve"> （5）对生产性能保证值、使用功能保证的实现产生不利影响等。</w:t>
      </w:r>
    </w:p>
    <w:p>
      <w:pPr>
        <w:spacing w:line="360" w:lineRule="auto"/>
        <w:rPr>
          <w:rFonts w:ascii="宋体" w:hAnsi="宋体"/>
          <w:snapToGrid w:val="0"/>
          <w:color w:val="auto"/>
          <w:kern w:val="0"/>
          <w:szCs w:val="20"/>
          <w:highlight w:val="none"/>
        </w:rPr>
      </w:pP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4)发包人应在接到书面建议报告后10天内对此项报告给予审查，并发出批准、撤销、改变、提出进一步要求的书面通知。承包人在等待发包人回复的时间内，不能停止或延误任何工作。发包人对书面建议报告中的理由、估算、和（或）完工或竣工日期延长经发包人批准后，应以书面形式下达变更指令。</w:t>
      </w:r>
    </w:p>
    <w:p>
      <w:pPr>
        <w:spacing w:line="360" w:lineRule="auto"/>
        <w:rPr>
          <w:rFonts w:ascii="宋体" w:hAnsi="宋体"/>
          <w:snapToGrid w:val="0"/>
          <w:color w:val="auto"/>
          <w:kern w:val="0"/>
          <w:szCs w:val="20"/>
          <w:highlight w:val="none"/>
        </w:rPr>
      </w:pP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5) 发包人对书面建议报告进行审查后，向承包人发出继续执行、改变、提出进一步补充资料的书面指示，承包人应无条件予以执行。如承包人接到发包人的指示后三（3）天内，承包人仍未开始执行有关的工作（按工程实际情况不可能立即执行的除外），发包人可雇用第三人代为执行，承包人应承担该部分工程双倍费用的违约金。</w:t>
      </w:r>
    </w:p>
    <w:p>
      <w:pPr>
        <w:spacing w:line="360" w:lineRule="auto"/>
        <w:rPr>
          <w:rFonts w:ascii="宋体" w:hAnsi="宋体"/>
          <w:snapToGrid w:val="0"/>
          <w:color w:val="auto"/>
          <w:kern w:val="0"/>
          <w:szCs w:val="20"/>
          <w:highlight w:val="none"/>
        </w:rPr>
      </w:pP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6)承包人在收到发包人或监理人的变更指示后20天内向发包人提出变更工程价款的书面报告（格式应满足发包人管理要求），经发包人和监理人书面审核批准，才能作为变更工程完工后进度款支付的依据。当包人及承包人对变更核价有争议时，承包人应无条件按变更指令实施变更，监理人有义务协助尽快落实争议问题。承包人不得以核价等任何理由停工或拖延施工。若承包人以核价争议等理由停工或拖延施工的，由此导致的工期延误，由承包人自行承担，且承包人应按停工或拖延施工天数承担10000元/天的违约金。</w:t>
      </w:r>
    </w:p>
    <w:p>
      <w:pPr>
        <w:spacing w:line="360" w:lineRule="auto"/>
        <w:rPr>
          <w:rFonts w:ascii="宋体" w:hAnsi="宋体"/>
          <w:snapToGrid w:val="0"/>
          <w:color w:val="auto"/>
          <w:kern w:val="0"/>
          <w:szCs w:val="20"/>
          <w:highlight w:val="none"/>
        </w:rPr>
      </w:pP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7)变更实施完成后，承包人原则上应在28天内向发包人申报变更完成确认。经监理人与发包人书面确认的变更完成，变更价款可并入最近一期工程进度款按进度款支付比例支付或扣除。当承包人、发包人对该阶段的变更核价仍有争议时，仅支付无争议部分的变更价款，争议部分待竣工结算时一并解决落实。</w:t>
      </w:r>
    </w:p>
    <w:p>
      <w:pPr>
        <w:spacing w:line="360" w:lineRule="auto"/>
        <w:rPr>
          <w:rFonts w:ascii="宋体" w:hAnsi="宋体"/>
          <w:snapToGrid w:val="0"/>
          <w:color w:val="auto"/>
          <w:kern w:val="0"/>
          <w:szCs w:val="20"/>
          <w:highlight w:val="none"/>
        </w:rPr>
      </w:pP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15.1.4. 通用条款第15.1.4条修订为：如承包人未经发包人和监理单位同意而擅自超出合同文件的要求进行施工，或者擅自变更承包范围内施工内容的，则无论本工程是否通过了竣工验收，均不视为变更且发包人不支付该等擅自施工所发生的费用，由此增加的费用和延误的工期均由承包人承担。</w:t>
      </w:r>
    </w:p>
    <w:p>
      <w:pPr>
        <w:spacing w:line="360" w:lineRule="auto"/>
        <w:rPr>
          <w:rFonts w:ascii="宋体" w:hAnsi="宋体"/>
          <w:snapToGrid w:val="0"/>
          <w:color w:val="auto"/>
          <w:kern w:val="0"/>
          <w:szCs w:val="20"/>
          <w:highlight w:val="none"/>
        </w:rPr>
      </w:pP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15.1.7.设计人提出的设计变更，必须经发包人书面批准及发包人书面确认后向承包人下发，承包人才能变更指令进行施工，如设计变更未经发包人批准、书面确认的，承包人安排施工，所需费用由承包人承担；如设计变更未经发包人批准、书面确认的，承包人安排施工，且设计变更不合理，发包人有权要求拆除及恢复，承包人承担由此造成的费用，其施工费用、恢复费用、延误工期及由此造成的损失由承包人承担，同时承包人每次须按2000元/次向发包人承担违约责任。</w:t>
      </w:r>
    </w:p>
    <w:p>
      <w:pPr>
        <w:spacing w:line="360" w:lineRule="auto"/>
        <w:rPr>
          <w:rFonts w:ascii="宋体" w:hAnsi="宋体"/>
          <w:b/>
          <w:bCs/>
          <w:snapToGrid w:val="0"/>
          <w:color w:val="auto"/>
          <w:kern w:val="0"/>
          <w:szCs w:val="20"/>
          <w:highlight w:val="none"/>
        </w:rPr>
      </w:pPr>
      <w:r>
        <w:rPr>
          <w:rFonts w:ascii="宋体" w:hAnsi="宋体"/>
          <w:snapToGrid w:val="0"/>
          <w:color w:val="auto"/>
          <w:kern w:val="0"/>
          <w:szCs w:val="20"/>
          <w:highlight w:val="none"/>
        </w:rPr>
        <w:t xml:space="preserve">   </w:t>
      </w:r>
      <w:r>
        <w:rPr>
          <w:rFonts w:ascii="宋体" w:hAnsi="宋体"/>
          <w:b/>
          <w:bCs/>
          <w:snapToGrid w:val="0"/>
          <w:color w:val="auto"/>
          <w:kern w:val="0"/>
          <w:szCs w:val="20"/>
          <w:highlight w:val="none"/>
        </w:rPr>
        <w:t xml:space="preserve"> </w:t>
      </w:r>
      <w:r>
        <w:rPr>
          <w:rFonts w:hint="eastAsia" w:ascii="宋体" w:hAnsi="宋体"/>
          <w:b/>
          <w:bCs/>
          <w:snapToGrid w:val="0"/>
          <w:color w:val="auto"/>
          <w:kern w:val="0"/>
          <w:szCs w:val="20"/>
          <w:highlight w:val="none"/>
        </w:rPr>
        <w:t>15.1.8.发包人有权对材料设备的品牌、规格、型号进行变更。</w:t>
      </w:r>
    </w:p>
    <w:p>
      <w:pPr>
        <w:spacing w:line="360" w:lineRule="auto"/>
        <w:rPr>
          <w:rFonts w:ascii="宋体" w:hAnsi="宋体"/>
          <w:b/>
          <w:bCs/>
          <w:snapToGrid w:val="0"/>
          <w:color w:val="auto"/>
          <w:kern w:val="0"/>
          <w:szCs w:val="20"/>
          <w:highlight w:val="none"/>
        </w:rPr>
      </w:pPr>
      <w:r>
        <w:rPr>
          <w:rFonts w:ascii="宋体" w:hAnsi="宋体"/>
          <w:snapToGrid w:val="0"/>
          <w:color w:val="auto"/>
          <w:kern w:val="0"/>
          <w:szCs w:val="20"/>
          <w:highlight w:val="none"/>
        </w:rPr>
        <w:t xml:space="preserve">    </w:t>
      </w:r>
      <w:r>
        <w:rPr>
          <w:rFonts w:hint="eastAsia" w:ascii="宋体" w:hAnsi="宋体"/>
          <w:b/>
          <w:bCs/>
          <w:snapToGrid w:val="0"/>
          <w:color w:val="auto"/>
          <w:kern w:val="0"/>
          <w:szCs w:val="20"/>
          <w:highlight w:val="none"/>
        </w:rPr>
        <w:t>15.1.9变更程序其他约定（现场签证的变更程序按专用条款15.2.2约定执行）：</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1)如果承包人因施工现场情况、施工方法等原因，为便于组织施工或为了施工安全、避免干扰等原因需采取相应的技术措施而提出的施工组织措施等相关调整，除须得到发包人和监理人的书面批准外，因此增加的费用由承包人自行承担。若该项调整导致本工程合同价款减少的，则发包人有权从应支付的工程进度款或工程结算款中扣除。</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2）如果发包人发出的变更指令是由于承包人的深化设计、采购、施工、调试等过错或承包人违反合同等造成的，工期不予顺延，导致工程款减少的，则发包人有权从应支付的工程进度款或工程结算款中扣除，因此引起的任何额外费用除由承包人自行承担外，还应赔偿因此造成发包人、的实际经济损失，同时承包人应承担对应的违约责任。</w:t>
      </w:r>
    </w:p>
    <w:p>
      <w:pPr>
        <w:spacing w:line="360" w:lineRule="auto"/>
        <w:rPr>
          <w:rFonts w:ascii="宋体" w:hAnsi="宋体"/>
          <w:b/>
          <w:bCs/>
          <w:snapToGrid w:val="0"/>
          <w:color w:val="auto"/>
          <w:kern w:val="0"/>
          <w:szCs w:val="20"/>
          <w:highlight w:val="none"/>
        </w:rPr>
      </w:pPr>
      <w:r>
        <w:rPr>
          <w:rFonts w:ascii="宋体" w:hAnsi="宋体"/>
          <w:snapToGrid w:val="0"/>
          <w:color w:val="auto"/>
          <w:kern w:val="0"/>
          <w:szCs w:val="20"/>
          <w:highlight w:val="none"/>
        </w:rPr>
        <w:t xml:space="preserve"> </w:t>
      </w:r>
      <w:r>
        <w:rPr>
          <w:rFonts w:ascii="宋体" w:hAnsi="宋体"/>
          <w:b/>
          <w:bCs/>
          <w:snapToGrid w:val="0"/>
          <w:color w:val="auto"/>
          <w:kern w:val="0"/>
          <w:szCs w:val="20"/>
          <w:highlight w:val="none"/>
        </w:rPr>
        <w:t xml:space="preserve">   </w:t>
      </w:r>
      <w:r>
        <w:rPr>
          <w:rFonts w:hint="eastAsia" w:ascii="宋体" w:hAnsi="宋体"/>
          <w:b/>
          <w:bCs/>
          <w:snapToGrid w:val="0"/>
          <w:color w:val="auto"/>
          <w:kern w:val="0"/>
          <w:szCs w:val="20"/>
          <w:highlight w:val="none"/>
        </w:rPr>
        <w:t>15.2. 变更价款的确定</w:t>
      </w:r>
    </w:p>
    <w:p>
      <w:pPr>
        <w:spacing w:line="360" w:lineRule="auto"/>
        <w:rPr>
          <w:rFonts w:ascii="宋体" w:hAnsi="宋体"/>
          <w:snapToGrid w:val="0"/>
          <w:color w:val="auto"/>
          <w:kern w:val="0"/>
          <w:szCs w:val="20"/>
          <w:highlight w:val="none"/>
        </w:rPr>
      </w:pP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15.2.1变更、签证工程和新增工程价款确认原则如下：</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1）合同已标价工程量清单中有相同适用项目的，则采用该项目综合单价；合同已标价工程量清单中相同适用项目有多个的，则由发包人选择有利于发包人的相同适用项目综合单价（但发包人认为综合单价均明显不合理，明显偏离市场价格且对发包人不利时，按本项第（4）目约定执行），不论工程量怎样增加或减少，综合单价都不予调整，本合同另有约定的除外。</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2）合同已标价工程量清单中无相同适用项目、只有类似适用项目的，则对类似项目的综合单价中相应子目或材料设备消耗量或材料设备价格等进行调整换算，原管理费、利润水平不变，仅调整相应子目或材料设备消耗量或材料设备价格（但发包人认为综合单价均明显不合理，明显偏离市场价格且对发包人不利时，按本项第（4）目约定执行）。如合同已标价工程量清单中类似项目的综合单价有两个或两个以上，则由发包人选择有利于发包人的综合单价进行换算。</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 xml:space="preserve"> </w:t>
      </w: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所换算主材及设备价格首先执行工程造价管理机构发布的施工当期《广州市建设工程价格信息及有关计价办法的通知》并按本工程投标净下浮率下浮，（投标净下浮率=[1-（中标金额-不可竞争费）/（招标控制价-不可竞争费）]*100%）（实际施工跨月/季度的，则按发包人、监理单位共同确认的各月/季度施工完成的合格工程量为基础分别进行计算）；《广州市建筑工程价格信息及有关计价办法的通知》没有的主材及设备单价，由发包人和承包人结合市场价共同协商确定，主材价格不再下浮。</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招标控制价为在发包人在广州市公共资源交易交易中心公布的招标控制价格 。</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3）合同已标价工程量清单中没有相同或类似适用项目的；或者合同已标价工程量清单中有相同或类似适用项目，但发包人均认为综合单价明显不合理的，按以下原则计价：</w:t>
      </w:r>
    </w:p>
    <w:p>
      <w:pPr>
        <w:spacing w:line="360" w:lineRule="auto"/>
        <w:rPr>
          <w:rFonts w:ascii="宋体" w:hAnsi="宋体"/>
          <w:snapToGrid w:val="0"/>
          <w:color w:val="auto"/>
          <w:kern w:val="0"/>
          <w:szCs w:val="20"/>
          <w:highlight w:val="none"/>
        </w:rPr>
      </w:pP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由承包人依据变更工程资料，按《房屋建筑与装饰工程工程量计算规范（</w:t>
      </w:r>
      <w:r>
        <w:rPr>
          <w:rFonts w:ascii="宋体" w:hAnsi="宋体"/>
          <w:snapToGrid w:val="0"/>
          <w:color w:val="auto"/>
          <w:kern w:val="0"/>
          <w:szCs w:val="20"/>
          <w:highlight w:val="none"/>
        </w:rPr>
        <w:t>2013</w:t>
      </w:r>
      <w:r>
        <w:rPr>
          <w:rFonts w:hint="eastAsia" w:ascii="宋体" w:hAnsi="宋体"/>
          <w:snapToGrid w:val="0"/>
          <w:color w:val="auto"/>
          <w:kern w:val="0"/>
          <w:szCs w:val="20"/>
          <w:highlight w:val="none"/>
        </w:rPr>
        <w:t>）》、《房屋建筑安装工程工程量计算规范（</w:t>
      </w:r>
      <w:r>
        <w:rPr>
          <w:rFonts w:ascii="宋体" w:hAnsi="宋体"/>
          <w:snapToGrid w:val="0"/>
          <w:color w:val="auto"/>
          <w:kern w:val="0"/>
          <w:szCs w:val="20"/>
          <w:highlight w:val="none"/>
        </w:rPr>
        <w:t>2013</w:t>
      </w:r>
      <w:r>
        <w:rPr>
          <w:rFonts w:hint="eastAsia" w:ascii="宋体" w:hAnsi="宋体"/>
          <w:snapToGrid w:val="0"/>
          <w:color w:val="auto"/>
          <w:kern w:val="0"/>
          <w:szCs w:val="20"/>
          <w:highlight w:val="none"/>
        </w:rPr>
        <w:t>）》、《市政工程工程量计算规范（</w:t>
      </w:r>
      <w:r>
        <w:rPr>
          <w:rFonts w:ascii="宋体" w:hAnsi="宋体"/>
          <w:snapToGrid w:val="0"/>
          <w:color w:val="auto"/>
          <w:kern w:val="0"/>
          <w:szCs w:val="20"/>
          <w:highlight w:val="none"/>
        </w:rPr>
        <w:t>2013</w:t>
      </w:r>
      <w:r>
        <w:rPr>
          <w:rFonts w:hint="eastAsia" w:ascii="宋体" w:hAnsi="宋体"/>
          <w:snapToGrid w:val="0"/>
          <w:color w:val="auto"/>
          <w:kern w:val="0"/>
          <w:szCs w:val="20"/>
          <w:highlight w:val="none"/>
        </w:rPr>
        <w:t>）》、《园林绿化工程工程量计算规范（</w:t>
      </w:r>
      <w:r>
        <w:rPr>
          <w:rFonts w:ascii="宋体" w:hAnsi="宋体"/>
          <w:snapToGrid w:val="0"/>
          <w:color w:val="auto"/>
          <w:kern w:val="0"/>
          <w:szCs w:val="20"/>
          <w:highlight w:val="none"/>
        </w:rPr>
        <w:t>2013</w:t>
      </w:r>
      <w:r>
        <w:rPr>
          <w:rFonts w:hint="eastAsia" w:ascii="宋体" w:hAnsi="宋体"/>
          <w:snapToGrid w:val="0"/>
          <w:color w:val="auto"/>
          <w:kern w:val="0"/>
          <w:szCs w:val="20"/>
          <w:highlight w:val="none"/>
        </w:rPr>
        <w:t>）》，执行广东省</w:t>
      </w:r>
      <w:r>
        <w:rPr>
          <w:rFonts w:ascii="宋体" w:hAnsi="宋体"/>
          <w:snapToGrid w:val="0"/>
          <w:color w:val="auto"/>
          <w:kern w:val="0"/>
          <w:szCs w:val="20"/>
          <w:highlight w:val="none"/>
        </w:rPr>
        <w:t>2018</w:t>
      </w:r>
      <w:r>
        <w:rPr>
          <w:rFonts w:hint="eastAsia" w:ascii="宋体" w:hAnsi="宋体"/>
          <w:snapToGrid w:val="0"/>
          <w:color w:val="auto"/>
          <w:kern w:val="0"/>
          <w:szCs w:val="20"/>
          <w:highlight w:val="none"/>
        </w:rPr>
        <w:t>年相关定额标准及工程造价管理机构发布的施工当期《广州市建设工程价格信息及有关计价办法的通知》材料设备参考价格编制综合单价，并按本工程投标净下浮率下浮确认变更项目不含税综合单价。若《广州市建设工程价格信息及有关计价办法的通知》没有的材料、设备单价，由发包人、监理人（若需）承包人结合市场价共同协商确定，主材价格不再下浮。</w:t>
      </w:r>
    </w:p>
    <w:p>
      <w:pPr>
        <w:spacing w:line="360" w:lineRule="auto"/>
        <w:rPr>
          <w:rFonts w:ascii="宋体" w:hAnsi="宋体"/>
          <w:snapToGrid w:val="0"/>
          <w:color w:val="auto"/>
          <w:kern w:val="0"/>
          <w:szCs w:val="20"/>
          <w:highlight w:val="none"/>
        </w:rPr>
      </w:pP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合同已标价工程量清单没有相同或相类似且无相关定额子目可套用的项目，由发包人、承包人结合市场价共同协商确定。</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4）当发包人认为变更前合同已标价工程量清单项目单价或合同已标价工程量清单中相同适用项目单价或类似适用项目单价明显不合理，明显偏离市场价格且对发包人不利时，变更价款按以下约定执行：</w:t>
      </w:r>
    </w:p>
    <w:p>
      <w:pPr>
        <w:spacing w:line="360" w:lineRule="auto"/>
        <w:rPr>
          <w:rFonts w:ascii="宋体" w:hAnsi="宋体"/>
          <w:snapToGrid w:val="0"/>
          <w:color w:val="auto"/>
          <w:kern w:val="0"/>
          <w:szCs w:val="20"/>
          <w:highlight w:val="none"/>
        </w:rPr>
      </w:pP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当变更前的合同已标价工程量清单项目单价明显偏低，明显偏离市场价格且对发包人不利时，则对应变更后的项目单价，参照本项第</w:t>
      </w:r>
      <w:r>
        <w:rPr>
          <w:rFonts w:ascii="宋体" w:hAnsi="宋体"/>
          <w:snapToGrid w:val="0"/>
          <w:color w:val="auto"/>
          <w:kern w:val="0"/>
          <w:szCs w:val="20"/>
          <w:highlight w:val="none"/>
        </w:rPr>
        <w:t>3</w:t>
      </w:r>
      <w:r>
        <w:rPr>
          <w:rFonts w:hint="eastAsia" w:ascii="宋体" w:hAnsi="宋体"/>
          <w:snapToGrid w:val="0"/>
          <w:color w:val="auto"/>
          <w:kern w:val="0"/>
          <w:szCs w:val="20"/>
          <w:highlight w:val="none"/>
        </w:rPr>
        <w:t>）目编制综合单价，税前下浮，下浮率为</w:t>
      </w:r>
      <w:r>
        <w:rPr>
          <w:rFonts w:ascii="宋体" w:hAnsi="宋体"/>
          <w:snapToGrid w:val="0"/>
          <w:color w:val="auto"/>
          <w:kern w:val="0"/>
          <w:szCs w:val="20"/>
          <w:highlight w:val="none"/>
        </w:rPr>
        <w:t>1-</w:t>
      </w:r>
      <w:r>
        <w:rPr>
          <w:rFonts w:hint="eastAsia" w:ascii="宋体" w:hAnsi="宋体"/>
          <w:snapToGrid w:val="0"/>
          <w:color w:val="auto"/>
          <w:kern w:val="0"/>
          <w:szCs w:val="20"/>
          <w:highlight w:val="none"/>
        </w:rPr>
        <w:t>变更前合同已标价工程量清单对应项目单价</w:t>
      </w:r>
      <w:r>
        <w:rPr>
          <w:rFonts w:ascii="宋体" w:hAnsi="宋体"/>
          <w:snapToGrid w:val="0"/>
          <w:color w:val="auto"/>
          <w:kern w:val="0"/>
          <w:szCs w:val="20"/>
          <w:highlight w:val="none"/>
        </w:rPr>
        <w:t>/</w:t>
      </w:r>
      <w:r>
        <w:rPr>
          <w:rFonts w:hint="eastAsia" w:ascii="宋体" w:hAnsi="宋体"/>
          <w:snapToGrid w:val="0"/>
          <w:color w:val="auto"/>
          <w:kern w:val="0"/>
          <w:szCs w:val="20"/>
          <w:highlight w:val="none"/>
        </w:rPr>
        <w:t>中标控制价对应清单项目综合单价。</w:t>
      </w:r>
    </w:p>
    <w:p>
      <w:pPr>
        <w:spacing w:line="360" w:lineRule="auto"/>
        <w:rPr>
          <w:rFonts w:ascii="宋体" w:hAnsi="宋体"/>
          <w:snapToGrid w:val="0"/>
          <w:color w:val="auto"/>
          <w:kern w:val="0"/>
          <w:szCs w:val="20"/>
          <w:highlight w:val="none"/>
        </w:rPr>
      </w:pP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如果合同已标价工程量清单中相同适用项目单价或类似适用项目单价均存在第</w:t>
      </w:r>
      <w:r>
        <w:rPr>
          <w:rFonts w:ascii="宋体" w:hAnsi="宋体"/>
          <w:snapToGrid w:val="0"/>
          <w:color w:val="auto"/>
          <w:kern w:val="0"/>
          <w:szCs w:val="20"/>
          <w:highlight w:val="none"/>
        </w:rPr>
        <w:t>16.3.1</w:t>
      </w:r>
      <w:r>
        <w:rPr>
          <w:rFonts w:hint="eastAsia" w:ascii="宋体" w:hAnsi="宋体"/>
          <w:snapToGrid w:val="0"/>
          <w:color w:val="auto"/>
          <w:kern w:val="0"/>
          <w:szCs w:val="20"/>
          <w:highlight w:val="none"/>
        </w:rPr>
        <w:t>项目第（</w:t>
      </w:r>
      <w:r>
        <w:rPr>
          <w:rFonts w:ascii="宋体" w:hAnsi="宋体"/>
          <w:snapToGrid w:val="0"/>
          <w:color w:val="auto"/>
          <w:kern w:val="0"/>
          <w:szCs w:val="20"/>
          <w:highlight w:val="none"/>
        </w:rPr>
        <w:t>1</w:t>
      </w:r>
      <w:r>
        <w:rPr>
          <w:rFonts w:hint="eastAsia" w:ascii="宋体" w:hAnsi="宋体"/>
          <w:snapToGrid w:val="0"/>
          <w:color w:val="auto"/>
          <w:kern w:val="0"/>
          <w:szCs w:val="20"/>
          <w:highlight w:val="none"/>
        </w:rPr>
        <w:t>）目情况时，则变更后的项目单价按本项第（</w:t>
      </w:r>
      <w:r>
        <w:rPr>
          <w:rFonts w:ascii="宋体" w:hAnsi="宋体"/>
          <w:snapToGrid w:val="0"/>
          <w:color w:val="auto"/>
          <w:kern w:val="0"/>
          <w:szCs w:val="20"/>
          <w:highlight w:val="none"/>
        </w:rPr>
        <w:t>3</w:t>
      </w:r>
      <w:r>
        <w:rPr>
          <w:rFonts w:hint="eastAsia" w:ascii="宋体" w:hAnsi="宋体"/>
          <w:snapToGrid w:val="0"/>
          <w:color w:val="auto"/>
          <w:kern w:val="0"/>
          <w:szCs w:val="20"/>
          <w:highlight w:val="none"/>
        </w:rPr>
        <w:t>）目约定重新组价。</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5）发包人或监理人发出的合理变更指令，经发包人书面确认，承包人应无条件执行。承包人不得以变更价款未确认等理由暂停施工或消极怠工或停工，若由此导致的工期延误，由承包人自行承担，并根据相应条款承担违约责任及赔偿发包人、的损失。</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6）应报而漏报或报价为零的清单项目，则视为其价格已含在签约合同价格中，发包人将不另行支付费用。如该类清单发生变更时，变更价款确认原则如下：变更前价款为招标控制价对应清单项目的综合单价乘以投标净下浮率乘以变更前工程量所得价款；变更后价款计价原则按合同第15.2.1款约定执行。</w:t>
      </w:r>
    </w:p>
    <w:p>
      <w:pPr>
        <w:spacing w:line="360" w:lineRule="auto"/>
        <w:rPr>
          <w:rFonts w:ascii="宋体" w:hAnsi="宋体"/>
          <w:b/>
          <w:bCs/>
          <w:snapToGrid w:val="0"/>
          <w:color w:val="auto"/>
          <w:kern w:val="0"/>
          <w:szCs w:val="20"/>
          <w:highlight w:val="none"/>
        </w:rPr>
      </w:pPr>
      <w:r>
        <w:rPr>
          <w:rFonts w:ascii="宋体" w:hAnsi="宋体"/>
          <w:b/>
          <w:bCs/>
          <w:snapToGrid w:val="0"/>
          <w:color w:val="auto"/>
          <w:kern w:val="0"/>
          <w:szCs w:val="20"/>
          <w:highlight w:val="none"/>
        </w:rPr>
        <w:t xml:space="preserve">     </w:t>
      </w:r>
      <w:r>
        <w:rPr>
          <w:rFonts w:hint="eastAsia" w:ascii="宋体" w:hAnsi="宋体"/>
          <w:b/>
          <w:bCs/>
          <w:snapToGrid w:val="0"/>
          <w:color w:val="auto"/>
          <w:kern w:val="0"/>
          <w:szCs w:val="20"/>
          <w:highlight w:val="none"/>
        </w:rPr>
        <w:t>15.2.2. 对于变更价款确定的其他约定</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1）承包人递交的关于任何变更的估价或报价应包括相应变更的工程量计算书；计算书应具有充分的可追溯性，用于计算的原始数字仅能来源于发包人下发的图纸、发包人下发的变更；计算书应注明计算所依据的图纸、变更或其他文件的编号、发生的区段位置（轴线和标高）、构件或房间号等索引信息，且应写明算术运算的过程，以便监理人及发包人能方便和快捷地根据合同文件进行追溯校核；变更工程量计算书和报价书的格式需经过发包人审核、监理人及发包人的审批。如果监理人、要求，承包人应确保其工程量计算人员在要求的任何合理时间就其工程量计算的过程、计算书和价格组成明细等向监理人、作必要解释，以确保变更计量和计价工作的及时性和准确性。</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2）承包人对图纸的不明确部分做出的任何澄清、明确和确认（除设计技术漏项外）以及工程指令单均不属于变更，不适用于工程变更的计量和计价。只有按发包人要求办理设计变更或现场签证完成确认审批流程的，方视为变更，并可根据确认结果调整合同价款。</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3）深化设计内容不属于变更。</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4）签证的资料要求：签证工程必须同时具有发包人签字盖章的指令单、设计变更单（若需）、签证单（有需要的须附上竣工图及验收单），如资料不全，工程造价增加的视为承包人放弃此项权利，工程造价减少的按实结算扣除。</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5）签证的时限要求：承包人应在收到发包人发出的签证指令后10天内向监理人和发包人申报《工程签证申请表》，并附签证指令、计划完成时间、预估签证费用等资料。在发包人未回复具体的审核价或双方对核价有争议时，承包人不得以核价等任何理由停工或拖延施工。若承包人停工或拖延施工的，由此导致的工期延误，由承包人自行承担，且承包人应按停工或拖延施工天数承担10000元/天的违约金。</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6）承包人应在签证实施完成后15天内向监理人和发包人申报《工程签证完成确认表》，并附签证指令、完成验收确认资料、签证完成费用等资料。签证手续不完整、不及时的，发包人不予认可，不能作为结算依据；签证手续不得补办，若承包人在变更发生后超过15天（经发包人同意的特殊事项可相应延长15天）仍未办理签证申请，视为自动放弃此部分权利，费用增加部分结算时不再计取，费用减少部分经发包人核定后结算时予以扣减。同时,承包人每延迟1天申报完成确认的,按3000元/（天.单）承担违约金,违约金上限为承包人自动放弃的签证增加费用。</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7）由于发包人根据预留预埋图纸现场实际预留的机电孔洞与承包人实际施工的专业工程图纸不符时，由承包人牵头组织查找、核验差异原因并提出解决建议书面报告发包人与监理人，若非承包人原因导致的差异而需承包人发生打凿和修补，该部分产生的费用按合同关于工程签证的相关约定予以确认及计量。</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8）承包人须按专用条款第15条相关要求及时申报变更申请与变更完成确认资料，并按设计变更、现场签证、其他变更类别建立变更台账，载明变更编号、变更事项、变更原因、变更实施与完成日期、变更金额、变更依据等。承包人应在每月20日前将上月的变更台账报至监理人、发包人并与发包人核对台账，但监理人、发包人收到承包人变更台账的，并不视为对变更事项或金额的确认；若承包人未及时向监理人、发包人抄报变更台账或台账存在严重质量问题或不配合核对台账的，视情节严重程度，承包人应向发包人按500~5000元/次支付违约金。</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9）监理单位、发包人代表、现场工程师签署的现场确认变更资料应真实反映现场已完成的实际情况，营造做法内容完整、记录真实、说明详尽、文字表述无异议、图示尺寸准确。该类现场签署确认的变更资料，仅表明对实际发生事实的确认，变更计量计价原则应严格执行合同相关约定 。</w:t>
      </w:r>
    </w:p>
    <w:p>
      <w:pPr>
        <w:spacing w:line="360" w:lineRule="auto"/>
        <w:rPr>
          <w:rFonts w:ascii="宋体" w:hAnsi="宋体"/>
          <w:b/>
          <w:bCs/>
          <w:snapToGrid w:val="0"/>
          <w:color w:val="auto"/>
          <w:kern w:val="0"/>
          <w:szCs w:val="20"/>
          <w:highlight w:val="none"/>
        </w:rPr>
      </w:pPr>
      <w:r>
        <w:rPr>
          <w:rFonts w:ascii="宋体" w:hAnsi="宋体"/>
          <w:b/>
          <w:bCs/>
          <w:snapToGrid w:val="0"/>
          <w:color w:val="auto"/>
          <w:kern w:val="0"/>
          <w:szCs w:val="20"/>
          <w:highlight w:val="none"/>
        </w:rPr>
        <w:t xml:space="preserve">    </w:t>
      </w:r>
      <w:r>
        <w:rPr>
          <w:rFonts w:hint="eastAsia" w:ascii="宋体" w:hAnsi="宋体"/>
          <w:b/>
          <w:bCs/>
          <w:snapToGrid w:val="0"/>
          <w:color w:val="auto"/>
          <w:kern w:val="0"/>
          <w:szCs w:val="20"/>
          <w:highlight w:val="none"/>
        </w:rPr>
        <w:t>15.4. 不予办理变更或签证的情形</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下列情形的工作内容不予办理工程变更或工程签证：</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1）招标文件及施工合同约定或已包括在合同价款内应由承包人自行承担的；</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2）承包人在投标文件中承诺自行承担的或投标时应预见的风险；</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3）非发包人原因，承包人为了便于组织施工需采取的技术措施的变更或临时工程变更；</w:t>
      </w:r>
    </w:p>
    <w:p>
      <w:pPr>
        <w:spacing w:line="360" w:lineRule="auto"/>
        <w:rPr>
          <w:rFonts w:ascii="宋体" w:hAnsi="宋体"/>
          <w:snapToGrid w:val="0"/>
          <w:color w:val="auto"/>
          <w:kern w:val="0"/>
          <w:szCs w:val="20"/>
          <w:highlight w:val="none"/>
        </w:rPr>
      </w:pPr>
      <w:r>
        <w:rPr>
          <w:rFonts w:hint="eastAsia" w:ascii="宋体" w:hAnsi="宋体"/>
          <w:snapToGrid w:val="0"/>
          <w:color w:val="auto"/>
          <w:kern w:val="0"/>
          <w:szCs w:val="20"/>
          <w:highlight w:val="none"/>
        </w:rPr>
        <w:t>4）由承包人责任造成的工程量增加；</w:t>
      </w:r>
    </w:p>
    <w:p>
      <w:pPr>
        <w:pStyle w:val="78"/>
        <w:numPr>
          <w:ilvl w:val="0"/>
          <w:numId w:val="44"/>
        </w:numPr>
        <w:spacing w:line="360" w:lineRule="auto"/>
        <w:ind w:firstLineChars="0"/>
        <w:rPr>
          <w:rFonts w:ascii="宋体" w:hAnsi="宋体"/>
          <w:snapToGrid w:val="0"/>
          <w:color w:val="auto"/>
          <w:kern w:val="0"/>
          <w:szCs w:val="20"/>
          <w:highlight w:val="none"/>
        </w:rPr>
      </w:pPr>
      <w:r>
        <w:rPr>
          <w:rFonts w:hint="eastAsia" w:ascii="宋体" w:hAnsi="宋体"/>
          <w:snapToGrid w:val="0"/>
          <w:color w:val="auto"/>
          <w:kern w:val="0"/>
          <w:szCs w:val="20"/>
          <w:highlight w:val="none"/>
        </w:rPr>
        <w:t>法律、法规、规章规定不能办理的。</w:t>
      </w:r>
    </w:p>
    <w:p>
      <w:pPr>
        <w:pStyle w:val="5"/>
        <w:spacing w:before="156" w:beforeLines="50"/>
        <w:ind w:firstLine="281" w:firstLineChars="100"/>
        <w:rPr>
          <w:color w:val="auto"/>
          <w:highlight w:val="none"/>
        </w:rPr>
      </w:pPr>
      <w:bookmarkStart w:id="409" w:name="_Toc427331251"/>
      <w:bookmarkStart w:id="410" w:name="_Toc16949"/>
      <w:bookmarkStart w:id="411" w:name="_Toc33448413"/>
      <w:bookmarkStart w:id="412" w:name="_Toc33445908"/>
      <w:bookmarkStart w:id="413" w:name="_Toc33446086"/>
      <w:bookmarkStart w:id="414" w:name="_Toc33448484"/>
      <w:bookmarkStart w:id="415" w:name="_Toc350865218"/>
      <w:bookmarkStart w:id="416" w:name="_Toc33445983"/>
      <w:bookmarkStart w:id="417" w:name="_Toc350865580"/>
      <w:bookmarkStart w:id="418" w:name="_Toc133502208"/>
      <w:bookmarkStart w:id="419" w:name="_Toc33092196"/>
      <w:r>
        <w:rPr>
          <w:rFonts w:hint="eastAsia"/>
          <w:color w:val="auto"/>
          <w:highlight w:val="none"/>
        </w:rPr>
        <w:t>1</w:t>
      </w:r>
      <w:r>
        <w:rPr>
          <w:color w:val="auto"/>
          <w:highlight w:val="none"/>
        </w:rPr>
        <w:t>6.</w:t>
      </w:r>
      <w:r>
        <w:rPr>
          <w:rFonts w:hint="eastAsia"/>
          <w:color w:val="auto"/>
          <w:highlight w:val="none"/>
        </w:rPr>
        <w:t>价格调整</w:t>
      </w:r>
      <w:bookmarkEnd w:id="409"/>
      <w:bookmarkEnd w:id="410"/>
      <w:bookmarkEnd w:id="411"/>
      <w:bookmarkEnd w:id="412"/>
      <w:bookmarkEnd w:id="413"/>
      <w:bookmarkEnd w:id="414"/>
      <w:bookmarkEnd w:id="415"/>
      <w:bookmarkEnd w:id="416"/>
      <w:bookmarkEnd w:id="417"/>
      <w:bookmarkEnd w:id="418"/>
      <w:bookmarkEnd w:id="419"/>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16.1 物价波动引起的价格调整：</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16.1物价波动引起的价格调整：合同履行期间不因物价波动而调整合同价格。</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16.2价格不予调整的情形</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16.2.1 承包人在投标报价时及签订本合同前已对本工程的全部招标文件、工程所在地周围环境、交通道路、现场地质资料、周围地下管网等情况详细研究，投标报价中已按招标文件和合同条款及施工组织设计中的工程承包范围、质量标准、工期、付款条件、临设要求、安全维护、文明施工措施等要求充分考虑了人工、材料、机械、包装运输、施工技术、成品保护、甲供材料保管、设备调试、检验试验、验收、样品、管理、利润、税金并已考虑垃圾排放（包括建筑垃圾）、冬雨季气候条件等价格风险因素（合同约定因物价波动引起的可进行价格调整的除外）。</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16.2.2任何合同综合单价中对承包人不利的组价不当或差错（包括但不限于工作内容理解的偏差、工料耗量水平的确定、生产要素市场价格的判断、取费等）等，均视为承包人采取投标技巧将相关费用包含在相应的综合单价中，结算时不作调整（合同另有约定的除外）。按独立费计价的项目（即不按定额计价的子目）不在上述调价范围内。</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16.2.3因承包人的成员、雇员及进入施工现场的其它各方发生的各种事故、异常事件、人身伤害等给承包人造成的任何支出和损失均由承包人承担，承包人不得以此向发包人要求增加费用。</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16.2.4 除非发生本合同规定的不可抗力事件外，因承包人原因导致的任何支出和损失均由承包人承担，承包人不得以此向发包人要求增加费用。</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16.2.5 由承包人负责完成的图纸深化设计、施工组织设计等存在缺陷造成的任何支出，由承包人承担，即使此类内容已经获得发包人的审批。</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16.2.6. 发包人提供暂估价（含暂估材料、工程设备价）不适用以上调差约定。</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16.2.7 风险费用包括在已标价的工程量及单价清单所列各项目的综合单价及报价中，不得调整。</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16.2.8 其他约定事项：   无  。</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16.3  价格调整的补充说明</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16.3.1 不平衡报价的认定标准及修正办法</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（1）不平衡报价的认定标准</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不平衡报价指本合同已标价工程量清单的综合单价与按在广州市建设工程造价监管平台备案的招标控制价的对应清单子目综合单价）*投标净下浮率后的价格相比，超出±30%的清单项目综合单价，、有对标证据或合理解释证明明显高于市场合理价格的承包人清单项目综合单价。</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（2）不平衡报价的修正办法</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①当不平衡报价清单项目的履约实际工程量超出已标价工程量清单不平衡报价清单项目工程量时，发包人有权直接对超出的工程量的综合单价进行修订，发包人、承包人须无条件配合并按修订后价格计价。若承包人拒不按修订后价格履约的，应按不平衡报价修订前与修订后合同价格差额的2倍向发包人支付违约金。</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②修正原则：招标控制价的对应清单子目综合单价*（1-投标净下浮率）为修正后的综合单价；若招标控制价的清单子目综合单价有明显错误的，则按本合同专用条款第15.2.1项第3）目原则确定修正后的综合单位；本工程竣工结算时，不平衡报价清单项目超出已标价工程量清单相应项目工程量的综合单价按修正后综合单价据实结算，若发生变更的，按第15.2.1项约定执行。</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（3）应报而漏报或报价为零的清单项目，则视为其价格已含在签约合同价格中，发包人将不另行支付费用。</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16.3.2 政策影响的合同价格调整</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（1）截标日至本合同签署前发生增值税政策性调整的，调整后签约合同价格=不含增值税的中标金额*（1+政策调整后的增值税税率）</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（2）当合同履约期间发生政策性调整增值税税率时，承包人提供增值税专用发票的增值税税率应按政策性调整后的税率执行；若承包人拒绝执行或不积极配合执行的，自行承担付款延期责任及其相关违约责任。</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合同价格=政策性税率调整执行前累计已支付的不含税工程价款*（1+原合同增值税税率）+政策性税率调整执行时未支付的不含税工程价款*（1+政策性调整后的增值税税率）</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16.3.3 其他约定事项：   无    。</w:t>
      </w:r>
    </w:p>
    <w:p>
      <w:pPr>
        <w:pStyle w:val="6"/>
        <w:numPr>
          <w:ilvl w:val="1"/>
          <w:numId w:val="0"/>
        </w:numPr>
        <w:ind w:firstLine="422" w:firstLineChars="200"/>
        <w:rPr>
          <w:color w:val="auto"/>
          <w:szCs w:val="20"/>
          <w:highlight w:val="none"/>
        </w:rPr>
      </w:pPr>
      <w:r>
        <w:rPr>
          <w:rFonts w:hint="eastAsia"/>
          <w:color w:val="auto"/>
          <w:szCs w:val="20"/>
          <w:highlight w:val="none"/>
        </w:rPr>
        <w:t>17.计量与支付</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17.1. 计量</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17.1.1. 承包人向发包人提交已完工程量报告的时间： 满足每期支付节点之日起3日内，承包人向监理人和发包人提交当期完成工作量统计报表、已完工程造价明细资料、付款申请及附件资料等，并列明当期完成工作量对应的进度款。</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17.1.4.工程量计算规则确定方式按合同附件“已标价工程量清单”中的“投标报价须知”的相关规定执行。</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17.2.</w:t>
      </w:r>
      <w:r>
        <w:rPr>
          <w:rFonts w:hint="eastAsia"/>
          <w:b w:val="0"/>
          <w:bCs w:val="0"/>
          <w:color w:val="auto"/>
          <w:szCs w:val="20"/>
          <w:highlight w:val="none"/>
        </w:rPr>
        <w:tab/>
      </w:r>
      <w:r>
        <w:rPr>
          <w:rFonts w:hint="eastAsia"/>
          <w:b w:val="0"/>
          <w:bCs w:val="0"/>
          <w:color w:val="auto"/>
          <w:szCs w:val="20"/>
          <w:highlight w:val="none"/>
        </w:rPr>
        <w:t>工程价款</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17.2.1. 本合同采用工程量清单计价方式，签约合同价格采用分部分项工程综合单价包干；措施项目费（除以费率计算的绿色施工安全防护措施费以费率包干，模板、脚手架按按综合单价包干外）固定总价包干；其他项目费（除暂列金额、暂估价外）按项固定总价包干；绿色施工安全防护措施费如按合同计算的费率超出定额规定的费率时，进度支付和结算按定额规定的费率计算；如按合同计算的费率低于定额规定的费率时，则按合同计算的费率计算。</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综合单价指完成工程量清单中一个规定计量单位按照施工图要求完成所有工作内容所需的费用，包括但不限于完成该规定清单项目所需的人工费、材料费和工程设备费、施工机具使用费、专利费用、扰民费、保险费、检验试验费（第三方检测除外）、超高施工增加费、赶工费和企业管理费、利润，以及合同明示或默示的风险费用等，综合单价除合同约定可调情况外不可调整。</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通用条款第1）、2）、3）目不适用。</w:t>
      </w:r>
    </w:p>
    <w:p>
      <w:pPr>
        <w:pStyle w:val="6"/>
        <w:numPr>
          <w:ilvl w:val="1"/>
          <w:numId w:val="0"/>
        </w:numPr>
        <w:ind w:firstLine="422" w:firstLineChars="200"/>
        <w:rPr>
          <w:color w:val="auto"/>
          <w:szCs w:val="20"/>
          <w:highlight w:val="none"/>
        </w:rPr>
      </w:pPr>
      <w:r>
        <w:rPr>
          <w:rFonts w:hint="eastAsia"/>
          <w:color w:val="auto"/>
          <w:szCs w:val="20"/>
          <w:highlight w:val="none"/>
        </w:rPr>
        <w:t>4） 风险费用的计算方法： 已包含在本合同价格（包括但不限于固定综合单价、固定费率等）中，风险范围包括但不限于如下内容：</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 xml:space="preserve"> ①人工、设备、材料、施工机械使用费的市场价格变化（合同另有明确约定的除外）；</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 xml:space="preserve"> ②图纸虽未明确表示但按国家或地方规范必须实施的内容；</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 xml:space="preserve"> ③承包人投标时应报而漏报或报价为零或不平衡报价的清单项目；</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 xml:space="preserve"> ④承包人通常可以预料的风险；</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⑤合同中约定的其他属于承包人承担的风险</w:t>
      </w:r>
    </w:p>
    <w:p>
      <w:pPr>
        <w:pStyle w:val="6"/>
        <w:numPr>
          <w:ilvl w:val="1"/>
          <w:numId w:val="0"/>
        </w:numPr>
        <w:ind w:firstLine="422" w:firstLineChars="200"/>
        <w:rPr>
          <w:color w:val="auto"/>
          <w:szCs w:val="20"/>
          <w:highlight w:val="none"/>
        </w:rPr>
      </w:pPr>
      <w:r>
        <w:rPr>
          <w:rFonts w:hint="eastAsia"/>
          <w:color w:val="auto"/>
          <w:szCs w:val="20"/>
          <w:highlight w:val="none"/>
        </w:rPr>
        <w:t>5）其他可调整合同价款的情形：</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①图纸与已标价的工程量清单不一致的；</w:t>
      </w:r>
    </w:p>
    <w:p>
      <w:pPr>
        <w:pStyle w:val="6"/>
        <w:numPr>
          <w:ilvl w:val="1"/>
          <w:numId w:val="0"/>
        </w:numPr>
        <w:ind w:firstLine="420" w:firstLineChars="200"/>
        <w:rPr>
          <w:b w:val="0"/>
          <w:bCs w:val="0"/>
          <w:color w:val="auto"/>
          <w:szCs w:val="20"/>
          <w:highlight w:val="none"/>
        </w:rPr>
      </w:pPr>
      <w:r>
        <w:rPr>
          <w:rFonts w:hint="eastAsia"/>
          <w:b w:val="0"/>
          <w:bCs w:val="0"/>
          <w:color w:val="auto"/>
          <w:szCs w:val="20"/>
          <w:highlight w:val="none"/>
        </w:rPr>
        <w:t>②经设计人确认且发包人同意的设计变更；</w:t>
      </w:r>
    </w:p>
    <w:p>
      <w:pPr>
        <w:pStyle w:val="6"/>
        <w:numPr>
          <w:ilvl w:val="0"/>
          <w:numId w:val="43"/>
        </w:numPr>
        <w:rPr>
          <w:b w:val="0"/>
          <w:bCs w:val="0"/>
          <w:color w:val="auto"/>
          <w:szCs w:val="20"/>
          <w:highlight w:val="none"/>
        </w:rPr>
      </w:pPr>
      <w:r>
        <w:rPr>
          <w:rFonts w:hint="eastAsia"/>
          <w:b w:val="0"/>
          <w:bCs w:val="0"/>
          <w:color w:val="auto"/>
          <w:szCs w:val="20"/>
          <w:highlight w:val="none"/>
        </w:rPr>
        <w:t>经发包人确认的签证；</w:t>
      </w:r>
    </w:p>
    <w:p>
      <w:pPr>
        <w:pStyle w:val="6"/>
        <w:numPr>
          <w:ilvl w:val="0"/>
          <w:numId w:val="43"/>
        </w:numPr>
        <w:rPr>
          <w:b w:val="0"/>
          <w:bCs w:val="0"/>
          <w:color w:val="auto"/>
          <w:szCs w:val="20"/>
          <w:highlight w:val="none"/>
        </w:rPr>
      </w:pPr>
      <w:r>
        <w:rPr>
          <w:rFonts w:hint="eastAsia"/>
          <w:b w:val="0"/>
          <w:bCs w:val="0"/>
          <w:color w:val="auto"/>
          <w:szCs w:val="20"/>
          <w:highlight w:val="none"/>
        </w:rPr>
        <w:t>双方在本合同中约定可调整合同价款的其他情形。</w:t>
      </w:r>
    </w:p>
    <w:p>
      <w:pPr>
        <w:pStyle w:val="6"/>
        <w:ind w:left="780"/>
        <w:rPr>
          <w:b w:val="0"/>
          <w:bCs w:val="0"/>
          <w:color w:val="auto"/>
          <w:szCs w:val="20"/>
          <w:highlight w:val="none"/>
        </w:rPr>
      </w:pPr>
      <w:r>
        <w:rPr>
          <w:rFonts w:hint="eastAsia"/>
          <w:color w:val="auto"/>
          <w:highlight w:val="none"/>
        </w:rPr>
        <w:t>6）</w:t>
      </w:r>
      <w:r>
        <w:rPr>
          <w:rFonts w:hint="eastAsia"/>
          <w:b w:val="0"/>
          <w:bCs w:val="0"/>
          <w:color w:val="auto"/>
          <w:highlight w:val="none"/>
        </w:rPr>
        <w:t>专业工程暂估价花镜，承包人需按照发包人指定花卉品种进行施工，并按照发包人要求的频次进行更换，施工及更换前，由发包人组织承包人及监理单位三方通过市场询价(不少于三家)确定合理的主材单价，施工及养护费用按定额组价乘以投标下浮率进行计取。</w:t>
      </w:r>
    </w:p>
    <w:p>
      <w:pPr>
        <w:pStyle w:val="6"/>
        <w:numPr>
          <w:ilvl w:val="1"/>
          <w:numId w:val="0"/>
        </w:numPr>
        <w:ind w:firstLine="422" w:firstLineChars="200"/>
        <w:rPr>
          <w:color w:val="auto"/>
          <w:highlight w:val="none"/>
        </w:rPr>
      </w:pPr>
      <w:r>
        <w:rPr>
          <w:rFonts w:hint="eastAsia"/>
          <w:color w:val="auto"/>
          <w:highlight w:val="none"/>
        </w:rPr>
        <w:t>17.2.2 工程款支付方式</w:t>
      </w:r>
    </w:p>
    <w:p>
      <w:pPr>
        <w:pStyle w:val="6"/>
        <w:numPr>
          <w:ilvl w:val="1"/>
          <w:numId w:val="0"/>
        </w:numPr>
        <w:ind w:firstLine="422" w:firstLineChars="200"/>
        <w:rPr>
          <w:color w:val="auto"/>
          <w:highlight w:val="none"/>
        </w:rPr>
      </w:pPr>
      <w:r>
        <w:rPr>
          <w:rFonts w:hint="eastAsia"/>
          <w:color w:val="auto"/>
          <w:highlight w:val="none"/>
        </w:rPr>
        <w:t>17.3.3.总承包服务费其他约定：</w:t>
      </w:r>
    </w:p>
    <w:p>
      <w:pPr>
        <w:pStyle w:val="6"/>
        <w:numPr>
          <w:ilvl w:val="1"/>
          <w:numId w:val="0"/>
        </w:numPr>
        <w:ind w:firstLine="420" w:firstLineChars="200"/>
        <w:rPr>
          <w:b w:val="0"/>
          <w:bCs w:val="0"/>
          <w:color w:val="auto"/>
          <w:highlight w:val="none"/>
        </w:rPr>
      </w:pPr>
      <w:r>
        <w:rPr>
          <w:rFonts w:hint="eastAsia"/>
          <w:b w:val="0"/>
          <w:bCs w:val="0"/>
          <w:color w:val="auto"/>
          <w:highlight w:val="none"/>
        </w:rPr>
        <w:t>承包人应按照合同履行相应义务及职责，遵从总承包服务管理，进场后与发包人签署管理协议并严格执行现场管理办法，相对应的总承包服务费由发包人统一向发包人支付，承包人无需再向总承包人支付服务费。</w:t>
      </w:r>
    </w:p>
    <w:p>
      <w:pPr>
        <w:pStyle w:val="6"/>
        <w:numPr>
          <w:ilvl w:val="1"/>
          <w:numId w:val="0"/>
        </w:numPr>
        <w:ind w:firstLine="422" w:firstLineChars="200"/>
        <w:rPr>
          <w:color w:val="auto"/>
          <w:highlight w:val="none"/>
        </w:rPr>
      </w:pPr>
      <w:r>
        <w:rPr>
          <w:rFonts w:hint="eastAsia"/>
          <w:color w:val="auto"/>
          <w:highlight w:val="none"/>
        </w:rPr>
        <w:t>17.4.</w:t>
      </w:r>
      <w:r>
        <w:rPr>
          <w:rFonts w:hint="eastAsia"/>
          <w:color w:val="auto"/>
          <w:highlight w:val="none"/>
        </w:rPr>
        <w:tab/>
      </w:r>
      <w:r>
        <w:rPr>
          <w:rFonts w:hint="eastAsia"/>
          <w:color w:val="auto"/>
          <w:highlight w:val="none"/>
        </w:rPr>
        <w:t>预付款</w:t>
      </w:r>
    </w:p>
    <w:p>
      <w:pPr>
        <w:pStyle w:val="6"/>
        <w:numPr>
          <w:ilvl w:val="1"/>
          <w:numId w:val="0"/>
        </w:numPr>
        <w:ind w:firstLine="422" w:firstLineChars="200"/>
        <w:rPr>
          <w:color w:val="auto"/>
          <w:highlight w:val="none"/>
        </w:rPr>
      </w:pPr>
      <w:r>
        <w:rPr>
          <w:rFonts w:hint="eastAsia"/>
          <w:color w:val="auto"/>
          <w:highlight w:val="none"/>
        </w:rPr>
        <w:t>17.4.1预付工程款金额：</w:t>
      </w:r>
      <w:r>
        <w:rPr>
          <w:rFonts w:hint="eastAsia"/>
          <w:color w:val="auto"/>
          <w:highlight w:val="none"/>
          <w:u w:val="single"/>
        </w:rPr>
        <w:t>30%</w:t>
      </w:r>
    </w:p>
    <w:p>
      <w:pPr>
        <w:pStyle w:val="6"/>
        <w:numPr>
          <w:ilvl w:val="1"/>
          <w:numId w:val="0"/>
        </w:numPr>
        <w:ind w:firstLine="420" w:firstLineChars="200"/>
        <w:rPr>
          <w:b w:val="0"/>
          <w:bCs w:val="0"/>
          <w:color w:val="auto"/>
          <w:highlight w:val="none"/>
        </w:rPr>
      </w:pPr>
      <w:r>
        <w:rPr>
          <w:rFonts w:hint="eastAsia"/>
          <w:b w:val="0"/>
          <w:bCs w:val="0"/>
          <w:color w:val="auto"/>
          <w:highlight w:val="none"/>
        </w:rPr>
        <w:t>在承包人无任何违约行为的情况下，工程开工后十四个工作日内，发包人按合同价的30%作为预付款拨给承包人。</w:t>
      </w:r>
    </w:p>
    <w:p>
      <w:pPr>
        <w:pStyle w:val="6"/>
        <w:numPr>
          <w:ilvl w:val="1"/>
          <w:numId w:val="0"/>
        </w:numPr>
        <w:ind w:firstLine="422" w:firstLineChars="200"/>
        <w:rPr>
          <w:color w:val="auto"/>
          <w:highlight w:val="none"/>
        </w:rPr>
      </w:pPr>
      <w:r>
        <w:rPr>
          <w:rFonts w:hint="eastAsia"/>
          <w:color w:val="auto"/>
          <w:highlight w:val="none"/>
        </w:rPr>
        <w:t>17.5.</w:t>
      </w:r>
      <w:r>
        <w:rPr>
          <w:rFonts w:hint="eastAsia"/>
          <w:color w:val="auto"/>
          <w:highlight w:val="none"/>
        </w:rPr>
        <w:tab/>
      </w:r>
      <w:r>
        <w:rPr>
          <w:rFonts w:hint="eastAsia"/>
          <w:color w:val="auto"/>
          <w:highlight w:val="none"/>
        </w:rPr>
        <w:t>工程进度付款</w:t>
      </w:r>
    </w:p>
    <w:p>
      <w:pPr>
        <w:pStyle w:val="6"/>
        <w:numPr>
          <w:ilvl w:val="1"/>
          <w:numId w:val="0"/>
        </w:numPr>
        <w:ind w:firstLine="422" w:firstLineChars="200"/>
        <w:rPr>
          <w:b w:val="0"/>
          <w:bCs w:val="0"/>
          <w:color w:val="auto"/>
          <w:highlight w:val="none"/>
        </w:rPr>
      </w:pPr>
      <w:r>
        <w:rPr>
          <w:rFonts w:hint="eastAsia"/>
          <w:color w:val="auto"/>
          <w:highlight w:val="none"/>
        </w:rPr>
        <w:t>17.5.1.</w:t>
      </w:r>
      <w:r>
        <w:rPr>
          <w:rFonts w:hint="eastAsia"/>
          <w:b w:val="0"/>
          <w:bCs w:val="0"/>
          <w:color w:val="auto"/>
          <w:highlight w:val="none"/>
        </w:rPr>
        <w:t xml:space="preserve"> 合同签订后30日历天内且在发包人支付工程款之前，承包人应按照本合同的样式和条件向发包人提交本合同签约合同价格的10％的不可撤销的银行履约保函。</w:t>
      </w:r>
    </w:p>
    <w:p>
      <w:pPr>
        <w:ind w:firstLine="420" w:firstLineChars="200"/>
        <w:rPr>
          <w:color w:val="auto"/>
          <w:highlight w:val="none"/>
        </w:rPr>
      </w:pPr>
      <w:r>
        <w:rPr>
          <w:rFonts w:hint="eastAsia"/>
          <w:color w:val="auto"/>
          <w:highlight w:val="none"/>
        </w:rPr>
        <w:t>承包人应当承担的各项违约金、赔偿金及其他任何费用，发包人均有权从履约担保中直接提取。如承包人被发包人扣 减保证金或提取履约保函项下金额而不解除合同的，承包人 应在接到发包人关于扣减保证金或提取履约保函项下金额的通知后 10 天内补足保证金或补足被提取的履约保函金额，发包人亦可从应付合同价款中直接扣除相应金额补足履约保函金额。</w:t>
      </w:r>
    </w:p>
    <w:p>
      <w:pPr>
        <w:pStyle w:val="6"/>
        <w:numPr>
          <w:ilvl w:val="1"/>
          <w:numId w:val="0"/>
        </w:numPr>
        <w:ind w:firstLine="422" w:firstLineChars="200"/>
        <w:rPr>
          <w:color w:val="auto"/>
          <w:highlight w:val="none"/>
        </w:rPr>
      </w:pPr>
      <w:r>
        <w:rPr>
          <w:rFonts w:hint="eastAsia"/>
          <w:color w:val="auto"/>
          <w:highlight w:val="none"/>
        </w:rPr>
        <w:t>17.5.2. 工程进度款根据以下各施工节点形象进度完成情况支付:</w:t>
      </w:r>
    </w:p>
    <w:p>
      <w:pPr>
        <w:pStyle w:val="6"/>
        <w:numPr>
          <w:ilvl w:val="1"/>
          <w:numId w:val="0"/>
        </w:numPr>
        <w:ind w:firstLine="422" w:firstLineChars="200"/>
        <w:rPr>
          <w:color w:val="auto"/>
          <w:highlight w:val="none"/>
        </w:rPr>
      </w:pPr>
      <w:r>
        <w:rPr>
          <w:rFonts w:hint="eastAsia"/>
          <w:color w:val="auto"/>
          <w:highlight w:val="none"/>
        </w:rPr>
        <w:t>（1）绿色施工安全防护措施费支付方式：</w:t>
      </w:r>
    </w:p>
    <w:p>
      <w:pPr>
        <w:pStyle w:val="6"/>
        <w:numPr>
          <w:ilvl w:val="1"/>
          <w:numId w:val="0"/>
        </w:numPr>
        <w:ind w:firstLine="420" w:firstLineChars="200"/>
        <w:rPr>
          <w:b w:val="0"/>
          <w:bCs w:val="0"/>
          <w:color w:val="auto"/>
          <w:highlight w:val="none"/>
        </w:rPr>
      </w:pPr>
      <w:r>
        <w:rPr>
          <w:rFonts w:hint="eastAsia"/>
          <w:b w:val="0"/>
          <w:bCs w:val="0"/>
          <w:color w:val="auto"/>
          <w:highlight w:val="none"/>
        </w:rPr>
        <w:t>在本工程开工日起计第28天内，且承包人已向发包人提交满足本工程要求的绿色施工安全防护措施方案与计划后，承包人可向发包人申请预付绿色施工安全防护措施费。经发包人审核满足支付条件后28天内，向承包人支付至绿色施工安全防护措施费总额的50%。绿色施工安全防护措施费以当期工程进度完成的工程量为基础进行计算并随进度款同期、同比例支付；本工程竣工验收合格且竣工结算完成后，绿色施工安全防护措施费支付至竣工结算金额中对应绿色施工安全防护措施费的100%；安全文明施工措施未达到规定标准又未按期整改合格的，或逾期落实整改未起到安全防护作用的，或已列入安全文明施工措施费清单的项目未实施的，则对应已预付或已支付的绿色施工安全防护措施费应在当期进度款中相应扣除或扣减。</w:t>
      </w:r>
    </w:p>
    <w:p>
      <w:pPr>
        <w:pStyle w:val="6"/>
        <w:numPr>
          <w:ilvl w:val="1"/>
          <w:numId w:val="0"/>
        </w:numPr>
        <w:ind w:firstLine="422" w:firstLineChars="200"/>
        <w:rPr>
          <w:color w:val="auto"/>
          <w:highlight w:val="none"/>
        </w:rPr>
      </w:pPr>
      <w:r>
        <w:rPr>
          <w:rFonts w:hint="eastAsia"/>
          <w:color w:val="auto"/>
          <w:highlight w:val="none"/>
        </w:rPr>
        <w:t>（2）工程进度款</w:t>
      </w:r>
    </w:p>
    <w:p>
      <w:pPr>
        <w:pStyle w:val="6"/>
        <w:numPr>
          <w:ilvl w:val="1"/>
          <w:numId w:val="0"/>
        </w:numPr>
        <w:ind w:firstLine="420" w:firstLineChars="200"/>
        <w:rPr>
          <w:b w:val="0"/>
          <w:bCs w:val="0"/>
          <w:color w:val="auto"/>
          <w:highlight w:val="none"/>
        </w:rPr>
      </w:pPr>
      <w:r>
        <w:rPr>
          <w:rFonts w:hint="eastAsia"/>
          <w:b w:val="0"/>
          <w:bCs w:val="0"/>
          <w:color w:val="auto"/>
          <w:highlight w:val="none"/>
        </w:rPr>
        <w:t>进度款1期：支付比例30%，在承包人无任何违约行为的情况下，工程开工后十四个工作日内，发包人按合同价的30%作为预付款拨给供应商。</w:t>
      </w:r>
    </w:p>
    <w:p>
      <w:pPr>
        <w:pStyle w:val="6"/>
        <w:numPr>
          <w:ilvl w:val="1"/>
          <w:numId w:val="0"/>
        </w:numPr>
        <w:ind w:firstLine="420" w:firstLineChars="200"/>
        <w:rPr>
          <w:b w:val="0"/>
          <w:bCs w:val="0"/>
          <w:color w:val="auto"/>
          <w:highlight w:val="none"/>
        </w:rPr>
      </w:pPr>
      <w:r>
        <w:rPr>
          <w:rFonts w:hint="eastAsia"/>
          <w:b w:val="0"/>
          <w:bCs w:val="0"/>
          <w:color w:val="auto"/>
          <w:highlight w:val="none"/>
        </w:rPr>
        <w:t>进度款2期：支付比例40%，在工程进度达80%后，十四个工作日内支付40%（即支付至合同价的70%）。</w:t>
      </w:r>
    </w:p>
    <w:p>
      <w:pPr>
        <w:pStyle w:val="6"/>
        <w:numPr>
          <w:ilvl w:val="1"/>
          <w:numId w:val="0"/>
        </w:numPr>
        <w:ind w:firstLine="420" w:firstLineChars="200"/>
        <w:rPr>
          <w:b w:val="0"/>
          <w:bCs w:val="0"/>
          <w:color w:val="auto"/>
          <w:highlight w:val="none"/>
        </w:rPr>
      </w:pPr>
      <w:r>
        <w:rPr>
          <w:rFonts w:hint="eastAsia"/>
          <w:b w:val="0"/>
          <w:bCs w:val="0"/>
          <w:color w:val="auto"/>
          <w:highlight w:val="none"/>
        </w:rPr>
        <w:t>进度款3期：支付比例20%，工程全部完工并验收合格后十四个工作日内再支付20%（即支付至合同价的90%）。</w:t>
      </w:r>
    </w:p>
    <w:p>
      <w:pPr>
        <w:pStyle w:val="6"/>
        <w:numPr>
          <w:ilvl w:val="1"/>
          <w:numId w:val="0"/>
        </w:numPr>
        <w:ind w:firstLine="420" w:firstLineChars="200"/>
        <w:rPr>
          <w:b w:val="0"/>
          <w:bCs w:val="0"/>
          <w:color w:val="auto"/>
          <w:highlight w:val="none"/>
        </w:rPr>
      </w:pPr>
      <w:r>
        <w:rPr>
          <w:rFonts w:hint="eastAsia"/>
          <w:b w:val="0"/>
          <w:bCs w:val="0"/>
          <w:color w:val="auto"/>
          <w:highlight w:val="none"/>
        </w:rPr>
        <w:t>项目尾款：支付比例10%，工程结算经发包人书面审定办理完结算手续后十四个工作日内支付工程款至结算价的100%（注：在项目尾款支付前，承包人须先行缴纳3%工程质量保修金）。</w:t>
      </w:r>
    </w:p>
    <w:p>
      <w:pPr>
        <w:pStyle w:val="6"/>
        <w:numPr>
          <w:ilvl w:val="1"/>
          <w:numId w:val="0"/>
        </w:numPr>
        <w:ind w:firstLine="420" w:firstLineChars="200"/>
        <w:rPr>
          <w:b w:val="0"/>
          <w:bCs w:val="0"/>
          <w:color w:val="auto"/>
          <w:highlight w:val="none"/>
        </w:rPr>
      </w:pPr>
      <w:r>
        <w:rPr>
          <w:rFonts w:hint="eastAsia"/>
          <w:b w:val="0"/>
          <w:bCs w:val="0"/>
          <w:color w:val="auto"/>
          <w:highlight w:val="none"/>
        </w:rPr>
        <w:t>备注：工程质量保修金在工程质量验收合格之日起满两年后十四个工作日内一次性支付给承包人。在发包人每期款项付款前，承包人应当向发包人提供等额合法发票，如因承包人未能及时提供前述发票而造成付款延误，不属发包人违约。（工程款付款时间如遇节假日须顺延）</w:t>
      </w:r>
    </w:p>
    <w:p>
      <w:pPr>
        <w:pStyle w:val="6"/>
        <w:numPr>
          <w:ilvl w:val="1"/>
          <w:numId w:val="0"/>
        </w:numPr>
        <w:ind w:firstLine="422" w:firstLineChars="200"/>
        <w:rPr>
          <w:b w:val="0"/>
          <w:bCs w:val="0"/>
          <w:color w:val="auto"/>
          <w:highlight w:val="none"/>
        </w:rPr>
      </w:pPr>
      <w:r>
        <w:rPr>
          <w:rFonts w:hint="eastAsia"/>
          <w:color w:val="auto"/>
          <w:highlight w:val="none"/>
        </w:rPr>
        <w:t>17.5.6</w:t>
      </w:r>
      <w:r>
        <w:rPr>
          <w:rFonts w:hint="eastAsia"/>
          <w:b w:val="0"/>
          <w:bCs w:val="0"/>
          <w:color w:val="auto"/>
          <w:highlight w:val="none"/>
        </w:rPr>
        <w:t>监理单位在收到承包人工程量报告后 3 天内完成工程量的审核确认并提交给发包人，发包人收到经监理单位确认的工程量报告后 7 天内完成工程量的审核，承包人根据经发包人确认的工程量书面向发包人申请支付合同款项。</w:t>
      </w:r>
    </w:p>
    <w:p>
      <w:pPr>
        <w:pStyle w:val="6"/>
        <w:numPr>
          <w:ilvl w:val="1"/>
          <w:numId w:val="0"/>
        </w:numPr>
        <w:ind w:firstLine="422" w:firstLineChars="200"/>
        <w:rPr>
          <w:b w:val="0"/>
          <w:bCs w:val="0"/>
          <w:color w:val="auto"/>
          <w:highlight w:val="none"/>
        </w:rPr>
      </w:pPr>
      <w:r>
        <w:rPr>
          <w:rFonts w:hint="eastAsia"/>
          <w:color w:val="auto"/>
          <w:highlight w:val="none"/>
        </w:rPr>
        <w:t>17.5.7上</w:t>
      </w:r>
      <w:r>
        <w:rPr>
          <w:rFonts w:hint="eastAsia"/>
          <w:b w:val="0"/>
          <w:bCs w:val="0"/>
          <w:color w:val="auto"/>
          <w:highlight w:val="none"/>
        </w:rPr>
        <w:t>述付款条件成立后，承包人向发包人提出书面支付申请，并提供与应付款金额等额的税务部门验证合格的增值税专用发票，工程进度款审批期限为28天，自承包人向发包人书面提出付款申请或经发包人要求后重新提出付款申请并附齐相关证明之日起计。若承包人未提供书面付款申请或提供非正规（不合格）增值税专用发票，发包人有权不予支付任何款项且无需承担逾期付款的违约责任。</w:t>
      </w:r>
    </w:p>
    <w:p>
      <w:pPr>
        <w:pStyle w:val="6"/>
        <w:numPr>
          <w:ilvl w:val="1"/>
          <w:numId w:val="0"/>
        </w:numPr>
        <w:ind w:firstLine="422" w:firstLineChars="200"/>
        <w:rPr>
          <w:color w:val="auto"/>
          <w:highlight w:val="none"/>
        </w:rPr>
      </w:pPr>
      <w:r>
        <w:rPr>
          <w:rFonts w:hint="eastAsia"/>
          <w:color w:val="auto"/>
          <w:highlight w:val="none"/>
        </w:rPr>
        <w:t>17.5.8.增值税发票的要求：</w:t>
      </w:r>
    </w:p>
    <w:p>
      <w:pPr>
        <w:pStyle w:val="6"/>
        <w:numPr>
          <w:ilvl w:val="1"/>
          <w:numId w:val="0"/>
        </w:numPr>
        <w:ind w:firstLine="420" w:firstLineChars="200"/>
        <w:rPr>
          <w:b w:val="0"/>
          <w:bCs w:val="0"/>
          <w:color w:val="auto"/>
          <w:highlight w:val="none"/>
        </w:rPr>
      </w:pPr>
      <w:r>
        <w:rPr>
          <w:rFonts w:hint="eastAsia"/>
          <w:b w:val="0"/>
          <w:bCs w:val="0"/>
          <w:color w:val="auto"/>
          <w:highlight w:val="none"/>
        </w:rPr>
        <w:t>1）支付工程进度款的最迟7个工作日前，承包人应向发包人开具满足发包人及主管税务机关要求且与经发包人审批确认的预付款或进度款金额一致的合法增值税专用发票；在支付工程结算款时，承包人应向发包人开具累计金额为竣工结算总价（含税价）100%的合法增值税专用发票。</w:t>
      </w:r>
    </w:p>
    <w:p>
      <w:pPr>
        <w:pStyle w:val="6"/>
        <w:numPr>
          <w:ilvl w:val="1"/>
          <w:numId w:val="0"/>
        </w:numPr>
        <w:ind w:firstLine="420" w:firstLineChars="200"/>
        <w:rPr>
          <w:b w:val="0"/>
          <w:bCs w:val="0"/>
          <w:color w:val="auto"/>
          <w:highlight w:val="none"/>
        </w:rPr>
      </w:pPr>
      <w:r>
        <w:rPr>
          <w:rFonts w:hint="eastAsia"/>
          <w:b w:val="0"/>
          <w:bCs w:val="0"/>
          <w:color w:val="auto"/>
          <w:highlight w:val="none"/>
        </w:rPr>
        <w:t>2）发票由承包人按发包人要求提供，发票未足额提供给发包人前或不按发包人的要求提供的，发包人有权拒付工程款，发包人不因此承担违约责任。上述增值税专用发票必须符合国家《增值税专用发票使用规定》的相关要求，如承包人开具的增值税专用发票是无效或虚假发票，或者发生延迟开具增值税专用发票的情况，承包人应负责赔偿发包人因为承包人开具虚假发票或延迟开具发票所造成的一切损失或损害（包括但不限于税金、附加费、罚金、滞纳金等）。</w:t>
      </w:r>
    </w:p>
    <w:p>
      <w:pPr>
        <w:pStyle w:val="6"/>
        <w:numPr>
          <w:ilvl w:val="1"/>
          <w:numId w:val="0"/>
        </w:numPr>
        <w:ind w:firstLine="420" w:firstLineChars="200"/>
        <w:rPr>
          <w:b w:val="0"/>
          <w:bCs w:val="0"/>
          <w:color w:val="auto"/>
          <w:highlight w:val="none"/>
        </w:rPr>
      </w:pPr>
      <w:r>
        <w:rPr>
          <w:rFonts w:hint="eastAsia"/>
          <w:b w:val="0"/>
          <w:bCs w:val="0"/>
          <w:color w:val="auto"/>
          <w:highlight w:val="none"/>
        </w:rPr>
        <w:t>3）承包人开具的增值税专用发票（发票联及抵扣联）在送达发包人前如发生丢失、灭失或被盗等情况，导致相应票据未顺利送达发包人，或送达并经发包人签收后，发生丢失、灭失或被盗等情况的，承包人应向发包人提供丢失发票的记账联复印件（加盖发票专用章）等税收法规规定及主管税务机关要求提供的相关资料，并确保发包人顺利抵扣该增值税专用发票，否则，发包人因此遭受的经济损失由承包人负责赔偿。</w:t>
      </w:r>
    </w:p>
    <w:p>
      <w:pPr>
        <w:pStyle w:val="6"/>
        <w:numPr>
          <w:ilvl w:val="1"/>
          <w:numId w:val="0"/>
        </w:numPr>
        <w:ind w:firstLine="422" w:firstLineChars="200"/>
        <w:rPr>
          <w:color w:val="auto"/>
          <w:highlight w:val="none"/>
        </w:rPr>
      </w:pPr>
      <w:r>
        <w:rPr>
          <w:rFonts w:hint="eastAsia"/>
          <w:color w:val="auto"/>
          <w:highlight w:val="none"/>
        </w:rPr>
        <w:t>17.</w:t>
      </w:r>
      <w:r>
        <w:rPr>
          <w:color w:val="auto"/>
          <w:highlight w:val="none"/>
        </w:rPr>
        <w:t>5</w:t>
      </w:r>
      <w:r>
        <w:rPr>
          <w:rFonts w:hint="eastAsia"/>
          <w:color w:val="auto"/>
          <w:highlight w:val="none"/>
        </w:rPr>
        <w:t>.</w:t>
      </w:r>
      <w:r>
        <w:rPr>
          <w:color w:val="auto"/>
          <w:highlight w:val="none"/>
        </w:rPr>
        <w:t>9</w:t>
      </w:r>
      <w:r>
        <w:rPr>
          <w:rFonts w:hint="eastAsia"/>
          <w:color w:val="auto"/>
          <w:highlight w:val="none"/>
        </w:rPr>
        <w:tab/>
      </w:r>
      <w:r>
        <w:rPr>
          <w:rFonts w:hint="eastAsia"/>
          <w:color w:val="auto"/>
          <w:highlight w:val="none"/>
        </w:rPr>
        <w:t>质量保证金</w:t>
      </w:r>
    </w:p>
    <w:p>
      <w:pPr>
        <w:pStyle w:val="7"/>
        <w:numPr>
          <w:ilvl w:val="2"/>
          <w:numId w:val="0"/>
        </w:numPr>
        <w:ind w:firstLine="420" w:firstLineChars="200"/>
        <w:rPr>
          <w:rFonts w:hAnsi="宋体"/>
          <w:color w:val="auto"/>
          <w:highlight w:val="none"/>
        </w:rPr>
      </w:pPr>
      <w:r>
        <w:rPr>
          <w:rFonts w:hAnsi="宋体"/>
          <w:color w:val="auto"/>
          <w:highlight w:val="none"/>
        </w:rPr>
        <w:t>1</w:t>
      </w:r>
      <w:r>
        <w:rPr>
          <w:rFonts w:hint="eastAsia" w:hAnsi="宋体"/>
          <w:color w:val="auto"/>
          <w:highlight w:val="none"/>
        </w:rPr>
        <w:t>）缺陷责任期满时，承包人向发包人申请到期应返还承包人剩余的质量保证金金额，发包人应在</w:t>
      </w:r>
      <w:r>
        <w:rPr>
          <w:rFonts w:hAnsi="宋体"/>
          <w:color w:val="auto"/>
          <w:highlight w:val="none"/>
        </w:rPr>
        <w:t xml:space="preserve"> 30</w:t>
      </w:r>
      <w:r>
        <w:rPr>
          <w:rFonts w:hint="eastAsia" w:hAnsi="宋体"/>
          <w:color w:val="auto"/>
          <w:highlight w:val="none"/>
        </w:rPr>
        <w:t>天内会同承包人按照合同约定的内容核实承包人是否完成缺陷责任。如无异议，发包人应当在核实后将剩余保证金返还承包人。质量保证金的返还具体详见合同附件《工程质量保修书》。</w:t>
      </w:r>
    </w:p>
    <w:p>
      <w:pPr>
        <w:pStyle w:val="7"/>
        <w:numPr>
          <w:ilvl w:val="2"/>
          <w:numId w:val="0"/>
        </w:numPr>
        <w:ind w:firstLine="420" w:firstLineChars="200"/>
        <w:rPr>
          <w:rFonts w:hAnsi="宋体"/>
          <w:color w:val="auto"/>
          <w:highlight w:val="none"/>
        </w:rPr>
      </w:pPr>
      <w:r>
        <w:rPr>
          <w:rFonts w:hAnsi="宋体"/>
          <w:color w:val="auto"/>
          <w:highlight w:val="none"/>
        </w:rPr>
        <w:t>2</w:t>
      </w:r>
      <w:r>
        <w:rPr>
          <w:rFonts w:hint="eastAsia" w:hAnsi="宋体"/>
          <w:color w:val="auto"/>
          <w:highlight w:val="none"/>
        </w:rPr>
        <w:t>）质量保证金不计利息。</w:t>
      </w:r>
    </w:p>
    <w:p>
      <w:pPr>
        <w:pStyle w:val="7"/>
        <w:numPr>
          <w:ilvl w:val="2"/>
          <w:numId w:val="0"/>
        </w:numPr>
        <w:ind w:firstLine="420" w:firstLineChars="200"/>
        <w:rPr>
          <w:rFonts w:hAnsi="宋体"/>
          <w:color w:val="auto"/>
          <w:highlight w:val="none"/>
        </w:rPr>
      </w:pPr>
      <w:r>
        <w:rPr>
          <w:rFonts w:hAnsi="宋体"/>
          <w:color w:val="auto"/>
          <w:highlight w:val="none"/>
        </w:rPr>
        <w:t>3)</w:t>
      </w:r>
      <w:r>
        <w:rPr>
          <w:rFonts w:hint="eastAsia" w:hAnsi="宋体"/>
          <w:color w:val="auto"/>
          <w:highlight w:val="none"/>
        </w:rPr>
        <w:t>发包人向承包人支付质量保证金余额前，承包人应承担所有缺陷责任导致的扣款，发包人凭扣款收据执行质量保证金扣款，否则，发包人有权拒付质量保证金余额，发包人不因此承担违约责任。</w:t>
      </w:r>
    </w:p>
    <w:p>
      <w:pPr>
        <w:pStyle w:val="7"/>
        <w:numPr>
          <w:ilvl w:val="2"/>
          <w:numId w:val="0"/>
        </w:numPr>
        <w:ind w:firstLine="420" w:firstLineChars="200"/>
        <w:rPr>
          <w:color w:val="auto"/>
          <w:highlight w:val="none"/>
        </w:rPr>
      </w:pPr>
      <w:r>
        <w:rPr>
          <w:rFonts w:hint="eastAsia"/>
          <w:color w:val="auto"/>
          <w:highlight w:val="none"/>
        </w:rPr>
        <w:t>4）</w:t>
      </w:r>
      <w:r>
        <w:rPr>
          <w:rFonts w:hint="eastAsia" w:hAnsi="宋体"/>
          <w:color w:val="auto"/>
          <w:highlight w:val="none"/>
        </w:rPr>
        <w:t>质量保证</w:t>
      </w:r>
      <w:r>
        <w:rPr>
          <w:rFonts w:hint="eastAsia"/>
          <w:color w:val="auto"/>
          <w:highlight w:val="none"/>
        </w:rPr>
        <w:t>金的支付并不表明保修期结束，不减免承包人依法律法规及本合同规定在尚存处保修期的保修责任，承包人仍须按有关规定承担保修责任和产品责任。</w:t>
      </w:r>
    </w:p>
    <w:p>
      <w:pPr>
        <w:pStyle w:val="6"/>
        <w:numPr>
          <w:ilvl w:val="1"/>
          <w:numId w:val="0"/>
        </w:numPr>
        <w:ind w:firstLine="422" w:firstLineChars="200"/>
        <w:rPr>
          <w:color w:val="auto"/>
          <w:highlight w:val="none"/>
        </w:rPr>
      </w:pPr>
      <w:r>
        <w:rPr>
          <w:rFonts w:hint="eastAsia"/>
          <w:color w:val="auto"/>
          <w:highlight w:val="none"/>
        </w:rPr>
        <w:t>17.6.</w:t>
      </w:r>
      <w:r>
        <w:rPr>
          <w:rFonts w:hint="eastAsia"/>
          <w:color w:val="auto"/>
          <w:highlight w:val="none"/>
        </w:rPr>
        <w:tab/>
      </w:r>
      <w:r>
        <w:rPr>
          <w:rFonts w:hint="eastAsia"/>
          <w:color w:val="auto"/>
          <w:highlight w:val="none"/>
        </w:rPr>
        <w:t>工程结算</w:t>
      </w:r>
    </w:p>
    <w:p>
      <w:pPr>
        <w:pStyle w:val="58"/>
        <w:ind w:firstLine="420"/>
        <w:rPr>
          <w:rFonts w:ascii="宋体" w:hAnsi="宋体" w:eastAsia="宋体"/>
          <w:snapToGrid w:val="0"/>
          <w:color w:val="auto"/>
          <w:szCs w:val="20"/>
          <w:highlight w:val="none"/>
        </w:rPr>
      </w:pPr>
      <w:r>
        <w:rPr>
          <w:rFonts w:hint="eastAsia" w:ascii="宋体" w:hAnsi="宋体" w:eastAsia="宋体"/>
          <w:snapToGrid w:val="0"/>
          <w:color w:val="auto"/>
          <w:szCs w:val="20"/>
          <w:highlight w:val="none"/>
        </w:rPr>
        <w:t>17.6.1. 结算书及相关资料约定如下：</w:t>
      </w:r>
    </w:p>
    <w:p>
      <w:pPr>
        <w:pStyle w:val="58"/>
        <w:ind w:firstLine="420"/>
        <w:rPr>
          <w:rFonts w:ascii="宋体" w:hAnsi="宋体" w:eastAsia="宋体"/>
          <w:snapToGrid w:val="0"/>
          <w:color w:val="auto"/>
          <w:szCs w:val="20"/>
          <w:highlight w:val="none"/>
        </w:rPr>
      </w:pPr>
      <w:r>
        <w:rPr>
          <w:rFonts w:hint="eastAsia" w:ascii="宋体" w:hAnsi="宋体" w:eastAsia="宋体"/>
          <w:snapToGrid w:val="0"/>
          <w:color w:val="auto"/>
          <w:szCs w:val="20"/>
          <w:highlight w:val="none"/>
        </w:rPr>
        <w:t>1）结算资料目录；</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 xml:space="preserve">2）工程结算书，包括编制说明、结算汇总表、工程量清单计价表、结算金额与合同金额对比表及其差异分析、指标分析表及与结算相关的计价文件依据等；    </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3）工程量计算书，需按绿化、园建等对应的范围；</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4）开工报告、竣工验收报告、竣工验收记录、《材料设备领料单》（如有）；</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5）竣工结算授权委托书、竣工结算工作承诺书、工程结算申请报审表及施工范围确认表；</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6）经造价咨询公司和发包人共同签名盖章确认的工程核价文件；</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7）签证资料</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8）设计变更资料</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9）经审定的施工组织设计、施工方案或专项施工方案；</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10）承包合同文件（含补充协议）；</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11）竣工图纸，除须盖竣工图章外，还须有发包人工程安全部、承包单位、监理单位和设计院盖章；</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12）其他相关结算资料（包括但不限于财务对账表）；</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以上资料需装订成册，按顺序编写连续页码，一正两副并提供U盘电子文件一份，工程量清单计价表中的工程量需与工程量计算书中的工程量做好链接。</w:t>
      </w:r>
    </w:p>
    <w:p>
      <w:pPr>
        <w:tabs>
          <w:tab w:val="left" w:pos="4536"/>
        </w:tabs>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17.</w:t>
      </w:r>
      <w:r>
        <w:rPr>
          <w:rFonts w:ascii="宋体" w:hAnsi="宋体"/>
          <w:snapToGrid w:val="0"/>
          <w:color w:val="auto"/>
          <w:kern w:val="0"/>
          <w:szCs w:val="20"/>
          <w:highlight w:val="none"/>
        </w:rPr>
        <w:t>6</w:t>
      </w:r>
      <w:r>
        <w:rPr>
          <w:rFonts w:hint="eastAsia" w:ascii="宋体" w:hAnsi="宋体"/>
          <w:snapToGrid w:val="0"/>
          <w:color w:val="auto"/>
          <w:kern w:val="0"/>
          <w:szCs w:val="20"/>
          <w:highlight w:val="none"/>
        </w:rPr>
        <w:t>.2  自本合同施工内容完成并验收合格后，承包人应在验收之日起90天内上报完整、有效的结算书；提交本工程完整、有效的结算书及相关资料，发包人在收到承包人提交工程结算书之日起120天内进行审核，给予确认或提出修改意见，并将审核结果通知承包人。发包人、承包人确认同意的，则发包人审定的价款为本工程的竣工结算价款的最终依据；如发包人或承包人不同意的，双方针对争议部分进行核对和协商；经核对协商不能解决的争议部分，按本合同关于争议的约定处理。发包人、承包人就结算问题进行的沟通、协商、确认仅为协商过程性的行为。除非发包人法定代表人签字并加盖发包人公章，任何形式的文件以及任何人的行为都不能视为发包人对本工程结算的认可。</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17.</w:t>
      </w:r>
      <w:r>
        <w:rPr>
          <w:rFonts w:ascii="宋体" w:hAnsi="宋体"/>
          <w:snapToGrid w:val="0"/>
          <w:color w:val="auto"/>
          <w:kern w:val="0"/>
          <w:szCs w:val="20"/>
          <w:highlight w:val="none"/>
        </w:rPr>
        <w:t>6</w:t>
      </w:r>
      <w:r>
        <w:rPr>
          <w:rFonts w:hint="eastAsia" w:ascii="宋体" w:hAnsi="宋体"/>
          <w:snapToGrid w:val="0"/>
          <w:color w:val="auto"/>
          <w:kern w:val="0"/>
          <w:szCs w:val="20"/>
          <w:highlight w:val="none"/>
        </w:rPr>
        <w:t>.</w:t>
      </w:r>
      <w:r>
        <w:rPr>
          <w:rFonts w:ascii="宋体" w:hAnsi="宋体"/>
          <w:snapToGrid w:val="0"/>
          <w:color w:val="auto"/>
          <w:kern w:val="0"/>
          <w:szCs w:val="20"/>
          <w:highlight w:val="none"/>
        </w:rPr>
        <w:t>3</w:t>
      </w:r>
      <w:r>
        <w:rPr>
          <w:rFonts w:hint="eastAsia" w:ascii="宋体" w:hAnsi="宋体"/>
          <w:snapToGrid w:val="0"/>
          <w:color w:val="auto"/>
          <w:kern w:val="0"/>
          <w:szCs w:val="20"/>
          <w:highlight w:val="none"/>
        </w:rPr>
        <w:t xml:space="preserve"> 对于竣工结算的其他约定：</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1)在发包人与承包人就结算金额达成一致或生效裁判文书确定前，发包人对争议部分的支付义务不能确定，因此也无支付义务。只有在双方就结算金额达成一致或生效裁判文书确定发包人的支付义务后，发包人才有按照双方达成的一致或生效裁判文书支付结算款的义务，并在未按双方达成的一致或生效裁判文书确定的支付时间支付结算款时，才开始承担逾期支付的违约金或承担其他违约责任。</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2）凡是涉及到工程造价增减的设计变更、工程签证均必须有发包人签字并盖章方为有效。</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3）设计变更、工程签证及现场签证按照相应规定执行。</w:t>
      </w:r>
    </w:p>
    <w:p>
      <w:pPr>
        <w:autoSpaceDE w:val="0"/>
        <w:autoSpaceDN w:val="0"/>
        <w:adjustRightInd w:val="0"/>
        <w:spacing w:line="360" w:lineRule="auto"/>
        <w:ind w:firstLine="283" w:firstLineChars="135"/>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 xml:space="preserve"> 4） 承包人违约金、水电费、赔偿金等相应扣款项，应扣未扣金额由发包人在应付结算价款中扣除。发包人凭收款收据及其他资料进行上述扣款。扣除部分不影响承包人应向发包人开具的发票数额。</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5）按国家规定由承包人交纳的各种税收、劳动保险费及其他费用已包含在本工程造价内，由承包人负责向税收等部门交纳。</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ascii="宋体" w:hAnsi="宋体"/>
          <w:snapToGrid w:val="0"/>
          <w:color w:val="auto"/>
          <w:kern w:val="0"/>
          <w:szCs w:val="20"/>
          <w:highlight w:val="none"/>
        </w:rPr>
        <w:t>6</w:t>
      </w:r>
      <w:r>
        <w:rPr>
          <w:rFonts w:hint="eastAsia" w:ascii="宋体" w:hAnsi="宋体"/>
          <w:snapToGrid w:val="0"/>
          <w:color w:val="auto"/>
          <w:kern w:val="0"/>
          <w:szCs w:val="20"/>
          <w:highlight w:val="none"/>
        </w:rPr>
        <w:t>）发包人与监理人收到承包人竣工结算申请单，如经初步审核，资料不完善，承包人应在28天内补充完善并提交发包人审核，发包人审核开始时间从完整有效的结算资料收齐之日起计。</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ascii="宋体" w:hAnsi="宋体"/>
          <w:snapToGrid w:val="0"/>
          <w:color w:val="auto"/>
          <w:kern w:val="0"/>
          <w:szCs w:val="20"/>
          <w:highlight w:val="none"/>
        </w:rPr>
        <w:t>7</w:t>
      </w:r>
      <w:r>
        <w:rPr>
          <w:rFonts w:hint="eastAsia" w:ascii="宋体" w:hAnsi="宋体"/>
          <w:snapToGrid w:val="0"/>
          <w:color w:val="auto"/>
          <w:kern w:val="0"/>
          <w:szCs w:val="20"/>
          <w:highlight w:val="none"/>
        </w:rPr>
        <w:t>）发包人复审竣工结算的，监理人、承包人应积极配合结算审核工作，因承包人提供资料不积极或者不准确、不完整造成的审核延误责任由承包人承担。最终结算金额以发包人书面确认为准。</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ascii="宋体" w:hAnsi="宋体"/>
          <w:snapToGrid w:val="0"/>
          <w:color w:val="auto"/>
          <w:kern w:val="0"/>
          <w:szCs w:val="20"/>
          <w:highlight w:val="none"/>
        </w:rPr>
        <w:t>8</w:t>
      </w:r>
      <w:r>
        <w:rPr>
          <w:rFonts w:hint="eastAsia" w:ascii="宋体" w:hAnsi="宋体"/>
          <w:snapToGrid w:val="0"/>
          <w:color w:val="auto"/>
          <w:kern w:val="0"/>
          <w:szCs w:val="20"/>
          <w:highlight w:val="none"/>
        </w:rPr>
        <w:t>）本工程竣工结算方式为:</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竣工结算=竣工图（含设计变更）+签证+索赔+其他；</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承包人对发包人提供的工程量清单中列出的工程项目所报出的综合单价和综合合价包干措施费，在工程结算时将不得变更。除设计变更导致建设工程的工程量或者质量标准发生变化，最终工程结算价不得超过中标合同价105%。</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承包人申报结算时不得高估冒算，承包人结算价超报率超过10%时，承包人应承担结算超报违约责任，结算超报违约金计算原则如下：</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结算价超报率=（承包人结算送审造价－发包人结算审定价）/发包人结算审定价</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①承包人结算价超报率在10%（不含本数）~20%（含本数）时：</w:t>
      </w:r>
    </w:p>
    <w:p>
      <w:pPr>
        <w:autoSpaceDE w:val="0"/>
        <w:autoSpaceDN w:val="0"/>
        <w:adjustRightIn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违约金＝(承包人结算送审造价－发包人结算审定价×1.</w:t>
      </w:r>
      <w:r>
        <w:rPr>
          <w:rFonts w:ascii="宋体" w:hAnsi="宋体"/>
          <w:snapToGrid w:val="0"/>
          <w:color w:val="auto"/>
          <w:kern w:val="0"/>
          <w:szCs w:val="20"/>
          <w:highlight w:val="none"/>
        </w:rPr>
        <w:t>1)×5%</w:t>
      </w:r>
      <w:r>
        <w:rPr>
          <w:rFonts w:hint="eastAsia" w:ascii="宋体" w:hAnsi="宋体"/>
          <w:snapToGrid w:val="0"/>
          <w:color w:val="auto"/>
          <w:kern w:val="0"/>
          <w:szCs w:val="20"/>
          <w:highlight w:val="none"/>
        </w:rPr>
        <w:t>。</w:t>
      </w:r>
    </w:p>
    <w:p>
      <w:pPr>
        <w:autoSpaceDE w:val="0"/>
        <w:autoSpaceDN w:val="0"/>
        <w:adjustRightInd w:val="0"/>
        <w:spacing w:line="360" w:lineRule="auto"/>
        <w:ind w:left="42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②承包人结算价超报率在</w:t>
      </w:r>
      <w:r>
        <w:rPr>
          <w:rFonts w:ascii="宋体" w:hAnsi="宋体"/>
          <w:snapToGrid w:val="0"/>
          <w:color w:val="auto"/>
          <w:kern w:val="0"/>
          <w:szCs w:val="20"/>
          <w:highlight w:val="none"/>
        </w:rPr>
        <w:t>2</w:t>
      </w:r>
      <w:r>
        <w:rPr>
          <w:rFonts w:hint="eastAsia" w:ascii="宋体" w:hAnsi="宋体"/>
          <w:snapToGrid w:val="0"/>
          <w:color w:val="auto"/>
          <w:kern w:val="0"/>
          <w:szCs w:val="20"/>
          <w:highlight w:val="none"/>
        </w:rPr>
        <w:t>0%以上时：</w:t>
      </w:r>
    </w:p>
    <w:p>
      <w:pPr>
        <w:pStyle w:val="7"/>
        <w:numPr>
          <w:ilvl w:val="2"/>
          <w:numId w:val="0"/>
        </w:numPr>
        <w:ind w:firstLine="420" w:firstLineChars="200"/>
        <w:rPr>
          <w:rFonts w:hAnsi="宋体"/>
          <w:color w:val="auto"/>
          <w:highlight w:val="none"/>
        </w:rPr>
      </w:pPr>
      <w:r>
        <w:rPr>
          <w:rFonts w:hint="eastAsia" w:hAnsi="宋体"/>
          <w:color w:val="auto"/>
          <w:highlight w:val="none"/>
        </w:rPr>
        <w:t>违约金＝发包人结算审定价×0.1</w:t>
      </w:r>
      <w:r>
        <w:rPr>
          <w:rFonts w:hAnsi="宋体"/>
          <w:color w:val="auto"/>
          <w:highlight w:val="none"/>
        </w:rPr>
        <w:t>×5%</w:t>
      </w:r>
      <w:r>
        <w:rPr>
          <w:rFonts w:hint="eastAsia" w:hAnsi="宋体"/>
          <w:color w:val="auto"/>
          <w:highlight w:val="none"/>
        </w:rPr>
        <w:t>+(承包人结算送审造价－发包人结算审定价×1.2)×</w:t>
      </w:r>
      <w:r>
        <w:rPr>
          <w:rFonts w:hAnsi="宋体"/>
          <w:color w:val="auto"/>
          <w:highlight w:val="none"/>
        </w:rPr>
        <w:t>10</w:t>
      </w:r>
      <w:r>
        <w:rPr>
          <w:rFonts w:hint="eastAsia" w:hAnsi="宋体"/>
          <w:color w:val="auto"/>
          <w:highlight w:val="none"/>
        </w:rPr>
        <w:t>%。</w:t>
      </w:r>
    </w:p>
    <w:p>
      <w:pPr>
        <w:pStyle w:val="7"/>
        <w:numPr>
          <w:ilvl w:val="2"/>
          <w:numId w:val="0"/>
        </w:numPr>
        <w:ind w:firstLine="420" w:firstLineChars="200"/>
        <w:rPr>
          <w:rFonts w:hAnsi="宋体"/>
          <w:color w:val="auto"/>
          <w:highlight w:val="none"/>
        </w:rPr>
      </w:pPr>
      <w:r>
        <w:rPr>
          <w:rFonts w:hint="eastAsia" w:hAnsi="宋体"/>
          <w:color w:val="auto"/>
          <w:highlight w:val="none"/>
        </w:rPr>
        <w:t>9）三方人员（发包人、监理人及承包人）应每次对数前都在工作签到表上签名，签到表应注明当天三方办理结算的具体工作时间、内容、范围等事项，作为三方到场办理结算的现场工作记录。三方结算人员办理结算对数时应友好合作，对经核对确认无异议的数据和资料应当共同签字确认。如有异议，应当场提出，当场核对，当场记录争议的具体内容。如承包人对所核对的数据和资料没有书面提出异议，又不签字认可，发包人可以单方签名并在经过三方核对的文件资料上注明具体情况，将当天工作签到表和核对后的资料寄发给监理人、承包人，该资料即作为三方共同对数后确认的结算资料。对于三方意见分歧的书面记录，经三方对数人员共同核对清楚并签字确认后，上报领导协商解决任何人员不得因意见分歧而发生争执、对骂，甚至侮辱、殴打对方。如发生上述事件，受害方有权向侵权方索赔，由侵权方承担一切法律责任。承包人在结算期间，不按照发包人要求的时间或期限与发包人对数的，或者经过三方共同对数但承包人不签字对数结果的，或者推翻经过三方共同确认的对数成果的，发包人办理结算的时间向后顺延，期间不须支付剩余工程款，由承包人承担结算延误的违约责任。</w:t>
      </w:r>
    </w:p>
    <w:p>
      <w:pPr>
        <w:pStyle w:val="7"/>
        <w:numPr>
          <w:ilvl w:val="2"/>
          <w:numId w:val="0"/>
        </w:numPr>
        <w:ind w:firstLine="420" w:firstLineChars="200"/>
        <w:rPr>
          <w:rFonts w:hAnsi="宋体"/>
          <w:color w:val="auto"/>
          <w:highlight w:val="none"/>
        </w:rPr>
      </w:pPr>
      <w:r>
        <w:rPr>
          <w:rFonts w:hint="eastAsia" w:hAnsi="宋体"/>
          <w:color w:val="auto"/>
          <w:highlight w:val="none"/>
        </w:rPr>
        <w:t>10）承包人延迟提供完整、有效的结算书的，每延迟1天，须向发包人支付500元/天的违约金。承包人拒不配合竣工结算的（包括承包人提供的结算资料不完善等情形），发包人有权进行单面结算或委托第三方中介机构结算。结算结果送达承包人后15天内承包人未向发包人反馈结算书面确认信息的，视为承包人已默认并同意结算结果。该等情形下，承包人需向发包人支付签约合同价格的0.5%作为结算编制费用，同时应向发包人按签约合同价格的0.5%支付违约金，且可不经承包人同意，发包人有权在应付承包人的工程款中直接扣留该款项。</w:t>
      </w:r>
    </w:p>
    <w:p>
      <w:pPr>
        <w:pStyle w:val="5"/>
        <w:spacing w:before="156" w:beforeLines="50"/>
        <w:rPr>
          <w:color w:val="auto"/>
          <w:highlight w:val="none"/>
        </w:rPr>
      </w:pPr>
      <w:r>
        <w:rPr>
          <w:color w:val="auto"/>
          <w:highlight w:val="none"/>
        </w:rPr>
        <w:t>18</w:t>
      </w:r>
      <w:r>
        <w:rPr>
          <w:rFonts w:hint="eastAsia"/>
          <w:color w:val="auto"/>
          <w:highlight w:val="none"/>
        </w:rPr>
        <w:tab/>
      </w:r>
      <w:bookmarkStart w:id="420" w:name="_Toc33445985"/>
      <w:bookmarkStart w:id="421" w:name="_Toc33445910"/>
      <w:bookmarkStart w:id="422" w:name="_Toc350865220"/>
      <w:bookmarkStart w:id="423" w:name="_Toc21253"/>
      <w:bookmarkStart w:id="424" w:name="_Toc33448486"/>
      <w:bookmarkStart w:id="425" w:name="_Toc133502210"/>
      <w:bookmarkStart w:id="426" w:name="_Toc350865582"/>
      <w:bookmarkStart w:id="427" w:name="_Toc33446088"/>
      <w:bookmarkStart w:id="428" w:name="_Toc33448415"/>
      <w:bookmarkStart w:id="429" w:name="_Toc427331253"/>
      <w:bookmarkStart w:id="430" w:name="_Toc33092198"/>
      <w:r>
        <w:rPr>
          <w:rFonts w:hint="eastAsia"/>
          <w:color w:val="auto"/>
          <w:highlight w:val="none"/>
        </w:rPr>
        <w:t>竣工验收</w:t>
      </w:r>
      <w:bookmarkEnd w:id="420"/>
      <w:bookmarkEnd w:id="421"/>
      <w:bookmarkEnd w:id="422"/>
      <w:bookmarkEnd w:id="423"/>
      <w:bookmarkEnd w:id="424"/>
      <w:bookmarkEnd w:id="425"/>
      <w:bookmarkEnd w:id="426"/>
      <w:bookmarkEnd w:id="427"/>
      <w:bookmarkEnd w:id="428"/>
      <w:bookmarkEnd w:id="429"/>
      <w:bookmarkEnd w:id="430"/>
    </w:p>
    <w:p>
      <w:pPr>
        <w:pStyle w:val="6"/>
        <w:numPr>
          <w:ilvl w:val="1"/>
          <w:numId w:val="0"/>
        </w:numPr>
        <w:ind w:firstLine="422" w:firstLineChars="200"/>
        <w:rPr>
          <w:color w:val="auto"/>
          <w:highlight w:val="none"/>
        </w:rPr>
      </w:pPr>
      <w:r>
        <w:rPr>
          <w:rFonts w:hint="eastAsia"/>
          <w:color w:val="auto"/>
          <w:highlight w:val="none"/>
        </w:rPr>
        <w:t>18.3. 验收</w:t>
      </w:r>
    </w:p>
    <w:p>
      <w:pPr>
        <w:pStyle w:val="7"/>
        <w:numPr>
          <w:ilvl w:val="2"/>
          <w:numId w:val="0"/>
        </w:numPr>
        <w:ind w:firstLine="420" w:firstLineChars="200"/>
        <w:rPr>
          <w:rFonts w:hAnsi="宋体"/>
          <w:color w:val="auto"/>
          <w:highlight w:val="none"/>
        </w:rPr>
      </w:pPr>
      <w:r>
        <w:rPr>
          <w:rFonts w:hint="eastAsia" w:hAnsi="宋体"/>
          <w:color w:val="auto"/>
          <w:highlight w:val="none"/>
        </w:rPr>
        <w:t>18.3.7.竣工验收资料要求如下：</w:t>
      </w:r>
    </w:p>
    <w:p>
      <w:pPr>
        <w:pStyle w:val="8"/>
        <w:numPr>
          <w:ilvl w:val="0"/>
          <w:numId w:val="0"/>
        </w:numPr>
        <w:ind w:firstLine="420" w:firstLineChars="200"/>
        <w:rPr>
          <w:color w:val="auto"/>
          <w:highlight w:val="none"/>
        </w:rPr>
      </w:pPr>
      <w:r>
        <w:rPr>
          <w:rFonts w:hint="eastAsia"/>
          <w:color w:val="auto"/>
          <w:highlight w:val="none"/>
        </w:rPr>
        <w:t>1) 承包人在申请工程验收（含工程竣工验收、甩项竣工验收和单位工程验收）之前，应提前</w:t>
      </w:r>
      <w:r>
        <w:rPr>
          <w:rFonts w:hint="eastAsia"/>
          <w:color w:val="auto"/>
          <w:highlight w:val="none"/>
          <w:u w:val="single"/>
        </w:rPr>
        <w:t xml:space="preserve">  7  </w:t>
      </w:r>
      <w:r>
        <w:rPr>
          <w:rFonts w:hint="eastAsia"/>
          <w:color w:val="auto"/>
          <w:highlight w:val="none"/>
        </w:rPr>
        <w:t>天以上按照任何有关管理机构的要求以及政府关于档案管理的规定进行整理和装订全套竣工资料（含竣工图，竣工图编制必须同时符合规划、消防、环保等有关部门的相关要求）并保证其正确性、有效性和完整性，并在申请时将竣工资料和竣工图纸提交给发包人。所有分包工程的验收资料（含竣工图纸）由相应的分包单位准备和编制，但由承包人负责审查、汇总和装订。</w:t>
      </w:r>
    </w:p>
    <w:p>
      <w:pPr>
        <w:pStyle w:val="8"/>
        <w:numPr>
          <w:ilvl w:val="0"/>
          <w:numId w:val="0"/>
        </w:numPr>
        <w:ind w:firstLine="420" w:firstLineChars="200"/>
        <w:rPr>
          <w:color w:val="auto"/>
          <w:highlight w:val="none"/>
        </w:rPr>
      </w:pPr>
      <w:r>
        <w:rPr>
          <w:rFonts w:hint="eastAsia"/>
          <w:color w:val="auto"/>
          <w:highlight w:val="none"/>
        </w:rPr>
        <w:t>2） 竣工验收资料的份数：陆份。</w:t>
      </w:r>
    </w:p>
    <w:p>
      <w:pPr>
        <w:pStyle w:val="8"/>
        <w:numPr>
          <w:ilvl w:val="0"/>
          <w:numId w:val="0"/>
        </w:numPr>
        <w:ind w:left="420"/>
        <w:rPr>
          <w:color w:val="auto"/>
          <w:highlight w:val="none"/>
          <w:u w:val="single"/>
        </w:rPr>
      </w:pPr>
      <w:r>
        <w:rPr>
          <w:rFonts w:hint="eastAsia"/>
          <w:color w:val="auto"/>
          <w:highlight w:val="none"/>
        </w:rPr>
        <w:t>竣工验收资料的费用支付方式</w:t>
      </w:r>
      <w:r>
        <w:rPr>
          <w:rFonts w:hint="eastAsia"/>
          <w:color w:val="auto"/>
          <w:highlight w:val="none"/>
          <w:u w:val="single"/>
        </w:rPr>
        <w:t>：</w:t>
      </w:r>
      <w:r>
        <w:rPr>
          <w:rFonts w:hint="eastAsia"/>
          <w:bCs w:val="0"/>
          <w:color w:val="auto"/>
          <w:szCs w:val="20"/>
          <w:highlight w:val="none"/>
          <w:u w:val="single"/>
        </w:rPr>
        <w:t>已包含在合同价款中，发包人无需另行支付</w:t>
      </w:r>
      <w:r>
        <w:rPr>
          <w:rFonts w:hint="eastAsia"/>
          <w:color w:val="auto"/>
          <w:highlight w:val="none"/>
          <w:u w:val="single"/>
        </w:rPr>
        <w:t>。</w:t>
      </w:r>
    </w:p>
    <w:p>
      <w:pPr>
        <w:pStyle w:val="8"/>
        <w:numPr>
          <w:ilvl w:val="0"/>
          <w:numId w:val="0"/>
        </w:numPr>
        <w:ind w:firstLine="420" w:firstLineChars="200"/>
        <w:rPr>
          <w:color w:val="auto"/>
          <w:highlight w:val="none"/>
        </w:rPr>
      </w:pPr>
      <w:r>
        <w:rPr>
          <w:rFonts w:hint="eastAsia"/>
          <w:color w:val="auto"/>
          <w:highlight w:val="none"/>
        </w:rPr>
        <w:t>3） 承包人延迟提供符合以上规定的竣工图纸及竣工资料的，每延迟1天，须向发包人支付相当于合同暂定总价万分之五的违约金。</w:t>
      </w:r>
    </w:p>
    <w:p>
      <w:pPr>
        <w:pStyle w:val="6"/>
        <w:numPr>
          <w:ilvl w:val="1"/>
          <w:numId w:val="0"/>
        </w:numPr>
        <w:ind w:firstLine="422" w:firstLineChars="200"/>
        <w:rPr>
          <w:color w:val="auto"/>
          <w:highlight w:val="none"/>
        </w:rPr>
      </w:pPr>
      <w:r>
        <w:rPr>
          <w:rFonts w:hint="eastAsia"/>
          <w:color w:val="auto"/>
          <w:highlight w:val="none"/>
        </w:rPr>
        <w:t>18.4. 施工期运行</w:t>
      </w:r>
    </w:p>
    <w:p>
      <w:pPr>
        <w:pStyle w:val="7"/>
        <w:numPr>
          <w:ilvl w:val="2"/>
          <w:numId w:val="0"/>
        </w:numPr>
        <w:ind w:firstLine="420" w:firstLineChars="200"/>
        <w:rPr>
          <w:rFonts w:hAnsi="宋体"/>
          <w:color w:val="auto"/>
          <w:highlight w:val="none"/>
          <w:u w:val="single"/>
        </w:rPr>
      </w:pPr>
      <w:r>
        <w:rPr>
          <w:rFonts w:hint="eastAsia" w:hAnsi="宋体"/>
          <w:color w:val="auto"/>
          <w:highlight w:val="none"/>
        </w:rPr>
        <w:t>18.4.1. 需要施工期运行的单位工程或设备安装工程：</w:t>
      </w:r>
      <w:r>
        <w:rPr>
          <w:rFonts w:hint="eastAsia" w:hAnsi="宋体"/>
          <w:color w:val="auto"/>
          <w:highlight w:val="none"/>
          <w:u w:val="single"/>
        </w:rPr>
        <w:t xml:space="preserve">  无   。</w:t>
      </w:r>
    </w:p>
    <w:p>
      <w:pPr>
        <w:pStyle w:val="6"/>
        <w:numPr>
          <w:ilvl w:val="1"/>
          <w:numId w:val="0"/>
        </w:numPr>
        <w:ind w:firstLine="422" w:firstLineChars="200"/>
        <w:rPr>
          <w:color w:val="auto"/>
          <w:highlight w:val="none"/>
        </w:rPr>
      </w:pPr>
      <w:r>
        <w:rPr>
          <w:rFonts w:hint="eastAsia"/>
          <w:color w:val="auto"/>
          <w:highlight w:val="none"/>
        </w:rPr>
        <w:t>18.5. 试运行</w:t>
      </w:r>
    </w:p>
    <w:p>
      <w:pPr>
        <w:pStyle w:val="7"/>
        <w:numPr>
          <w:ilvl w:val="2"/>
          <w:numId w:val="0"/>
        </w:numPr>
        <w:ind w:firstLine="420" w:firstLineChars="200"/>
        <w:rPr>
          <w:rFonts w:hAnsi="宋体"/>
          <w:color w:val="auto"/>
          <w:highlight w:val="none"/>
          <w:u w:val="single"/>
        </w:rPr>
      </w:pPr>
      <w:r>
        <w:rPr>
          <w:rFonts w:hint="eastAsia" w:hAnsi="宋体"/>
          <w:color w:val="auto"/>
          <w:highlight w:val="none"/>
        </w:rPr>
        <w:t>18.5.1. 需要试运行的单位工程或设备安装工程（包括但不限于）：</w:t>
      </w:r>
      <w:r>
        <w:rPr>
          <w:rFonts w:hint="eastAsia" w:hAnsi="宋体"/>
          <w:color w:val="auto"/>
          <w:highlight w:val="none"/>
          <w:u w:val="single"/>
        </w:rPr>
        <w:t>无   。</w:t>
      </w:r>
    </w:p>
    <w:p>
      <w:pPr>
        <w:pStyle w:val="6"/>
        <w:numPr>
          <w:ilvl w:val="1"/>
          <w:numId w:val="0"/>
        </w:numPr>
        <w:ind w:firstLine="422" w:firstLineChars="200"/>
        <w:rPr>
          <w:color w:val="auto"/>
          <w:highlight w:val="none"/>
        </w:rPr>
      </w:pPr>
      <w:r>
        <w:rPr>
          <w:rFonts w:hint="eastAsia"/>
          <w:color w:val="auto"/>
          <w:highlight w:val="none"/>
        </w:rPr>
        <w:t>18.7. 施工队伍的撤离</w:t>
      </w:r>
    </w:p>
    <w:p>
      <w:pPr>
        <w:pStyle w:val="7"/>
        <w:numPr>
          <w:ilvl w:val="2"/>
          <w:numId w:val="0"/>
        </w:numPr>
        <w:ind w:firstLine="420" w:firstLineChars="200"/>
        <w:rPr>
          <w:rFonts w:hAnsi="宋体"/>
          <w:color w:val="auto"/>
          <w:highlight w:val="none"/>
        </w:rPr>
      </w:pPr>
      <w:r>
        <w:rPr>
          <w:rFonts w:hint="eastAsia" w:hAnsi="宋体"/>
          <w:color w:val="auto"/>
          <w:highlight w:val="none"/>
        </w:rPr>
        <w:t>18.7.1. 施工队伍撤离的时间为整体工程竣工验收通过后</w:t>
      </w:r>
      <w:r>
        <w:rPr>
          <w:rFonts w:hint="eastAsia" w:hAnsi="宋体"/>
          <w:color w:val="auto"/>
          <w:highlight w:val="none"/>
          <w:u w:val="single"/>
        </w:rPr>
        <w:t>10</w:t>
      </w:r>
      <w:r>
        <w:rPr>
          <w:rFonts w:hint="eastAsia" w:hAnsi="宋体"/>
          <w:color w:val="auto"/>
          <w:highlight w:val="none"/>
        </w:rPr>
        <w:t>天内。每迟延一天，承包人应向发包人支付人民币20000</w:t>
      </w:r>
      <w:r>
        <w:rPr>
          <w:rFonts w:hint="eastAsia" w:hAnsi="宋体"/>
          <w:color w:val="auto"/>
          <w:highlight w:val="none"/>
          <w:u w:val="single"/>
        </w:rPr>
        <w:t>元</w:t>
      </w:r>
      <w:r>
        <w:rPr>
          <w:rFonts w:hint="eastAsia" w:hAnsi="宋体"/>
          <w:color w:val="auto"/>
          <w:highlight w:val="none"/>
        </w:rPr>
        <w:t>违约金。</w:t>
      </w:r>
    </w:p>
    <w:p>
      <w:pPr>
        <w:pStyle w:val="5"/>
        <w:spacing w:before="156" w:beforeLines="50"/>
        <w:rPr>
          <w:color w:val="auto"/>
          <w:highlight w:val="none"/>
        </w:rPr>
      </w:pPr>
      <w:r>
        <w:rPr>
          <w:color w:val="auto"/>
          <w:highlight w:val="none"/>
        </w:rPr>
        <w:t>19</w:t>
      </w:r>
      <w:r>
        <w:rPr>
          <w:rFonts w:hint="eastAsia"/>
          <w:color w:val="auto"/>
          <w:highlight w:val="none"/>
        </w:rPr>
        <w:tab/>
      </w:r>
      <w:bookmarkStart w:id="431" w:name="_Toc33092199"/>
      <w:bookmarkStart w:id="432" w:name="_Toc33448416"/>
      <w:bookmarkStart w:id="433" w:name="_Toc350865583"/>
      <w:bookmarkStart w:id="434" w:name="_Toc350865221"/>
      <w:bookmarkStart w:id="435" w:name="_Toc11902"/>
      <w:bookmarkStart w:id="436" w:name="_Toc133502211"/>
      <w:bookmarkStart w:id="437" w:name="_Toc427331254"/>
      <w:bookmarkStart w:id="438" w:name="_Toc33448487"/>
      <w:bookmarkStart w:id="439" w:name="_Toc33446089"/>
      <w:bookmarkStart w:id="440" w:name="_Toc33445986"/>
      <w:bookmarkStart w:id="441" w:name="_Toc33445911"/>
      <w:r>
        <w:rPr>
          <w:rFonts w:hint="eastAsia"/>
          <w:color w:val="auto"/>
          <w:highlight w:val="none"/>
        </w:rPr>
        <w:t>缺陷责任</w:t>
      </w:r>
      <w:bookmarkEnd w:id="431"/>
      <w:bookmarkEnd w:id="432"/>
      <w:bookmarkEnd w:id="433"/>
      <w:bookmarkEnd w:id="434"/>
      <w:bookmarkEnd w:id="435"/>
      <w:bookmarkEnd w:id="436"/>
      <w:bookmarkEnd w:id="437"/>
      <w:bookmarkEnd w:id="438"/>
      <w:bookmarkEnd w:id="439"/>
      <w:bookmarkEnd w:id="440"/>
      <w:bookmarkEnd w:id="441"/>
    </w:p>
    <w:p>
      <w:pPr>
        <w:pStyle w:val="6"/>
        <w:numPr>
          <w:ilvl w:val="1"/>
          <w:numId w:val="0"/>
        </w:numPr>
        <w:ind w:firstLine="420" w:firstLineChars="200"/>
        <w:rPr>
          <w:b w:val="0"/>
          <w:color w:val="auto"/>
          <w:highlight w:val="none"/>
        </w:rPr>
      </w:pPr>
      <w:r>
        <w:rPr>
          <w:rFonts w:hint="eastAsia"/>
          <w:b w:val="0"/>
          <w:color w:val="auto"/>
          <w:highlight w:val="none"/>
        </w:rPr>
        <w:t>19.1.</w:t>
      </w:r>
      <w:r>
        <w:rPr>
          <w:rFonts w:hint="eastAsia"/>
          <w:b w:val="0"/>
          <w:color w:val="auto"/>
          <w:highlight w:val="none"/>
        </w:rPr>
        <w:tab/>
      </w:r>
      <w:r>
        <w:rPr>
          <w:rFonts w:hint="eastAsia"/>
          <w:b w:val="0"/>
          <w:color w:val="auto"/>
          <w:highlight w:val="none"/>
        </w:rPr>
        <w:t xml:space="preserve"> </w:t>
      </w:r>
      <w:r>
        <w:rPr>
          <w:rFonts w:hint="eastAsia"/>
          <w:color w:val="auto"/>
          <w:highlight w:val="none"/>
        </w:rPr>
        <w:t>缺陷责任期</w:t>
      </w:r>
    </w:p>
    <w:p>
      <w:pPr>
        <w:pStyle w:val="7"/>
        <w:numPr>
          <w:ilvl w:val="2"/>
          <w:numId w:val="0"/>
        </w:numPr>
        <w:ind w:firstLine="420" w:firstLineChars="200"/>
        <w:rPr>
          <w:rFonts w:hAnsi="宋体"/>
          <w:color w:val="auto"/>
          <w:highlight w:val="none"/>
        </w:rPr>
      </w:pPr>
      <w:r>
        <w:rPr>
          <w:rFonts w:hint="eastAsia" w:hAnsi="宋体"/>
          <w:color w:val="auto"/>
          <w:highlight w:val="none"/>
        </w:rPr>
        <w:t>19.1.1. 缺陷责任期自</w:t>
      </w:r>
      <w:r>
        <w:rPr>
          <w:rFonts w:hint="eastAsia" w:hAnsi="宋体"/>
          <w:color w:val="auto"/>
          <w:highlight w:val="none"/>
          <w:u w:val="single"/>
        </w:rPr>
        <w:t>园林绿化工程竣工验收合格日期</w:t>
      </w:r>
      <w:r>
        <w:rPr>
          <w:rFonts w:hint="eastAsia" w:hAnsi="宋体"/>
          <w:color w:val="auto"/>
          <w:highlight w:val="none"/>
        </w:rPr>
        <w:t>起计算，缺陷责任期、保修期、缺陷责任、保修责任及程序详细约定见附件《工程质量保修书》。</w:t>
      </w:r>
    </w:p>
    <w:p>
      <w:pPr>
        <w:pStyle w:val="5"/>
        <w:spacing w:before="156" w:beforeLines="50"/>
        <w:rPr>
          <w:color w:val="auto"/>
          <w:highlight w:val="none"/>
        </w:rPr>
      </w:pPr>
      <w:r>
        <w:rPr>
          <w:color w:val="auto"/>
          <w:highlight w:val="none"/>
        </w:rPr>
        <w:t>20</w:t>
      </w:r>
      <w:r>
        <w:rPr>
          <w:rFonts w:hint="eastAsia"/>
          <w:color w:val="auto"/>
          <w:highlight w:val="none"/>
        </w:rPr>
        <w:tab/>
      </w:r>
      <w:bookmarkStart w:id="442" w:name="_Toc33446090"/>
      <w:bookmarkStart w:id="443" w:name="_Toc350865584"/>
      <w:bookmarkStart w:id="444" w:name="_Toc33448488"/>
      <w:bookmarkStart w:id="445" w:name="_Toc33448417"/>
      <w:bookmarkStart w:id="446" w:name="_Toc33445987"/>
      <w:bookmarkStart w:id="447" w:name="_Toc33445912"/>
      <w:bookmarkStart w:id="448" w:name="_Toc33092200"/>
      <w:bookmarkStart w:id="449" w:name="_Toc133502212"/>
      <w:bookmarkStart w:id="450" w:name="_Toc350865222"/>
      <w:bookmarkStart w:id="451" w:name="_Toc28994"/>
      <w:bookmarkStart w:id="452" w:name="_Toc427331255"/>
      <w:r>
        <w:rPr>
          <w:rFonts w:hint="eastAsia"/>
          <w:color w:val="auto"/>
          <w:highlight w:val="none"/>
        </w:rPr>
        <w:t>保险</w:t>
      </w:r>
      <w:bookmarkEnd w:id="442"/>
      <w:bookmarkEnd w:id="443"/>
      <w:bookmarkEnd w:id="444"/>
      <w:bookmarkEnd w:id="445"/>
      <w:bookmarkEnd w:id="446"/>
      <w:bookmarkEnd w:id="447"/>
      <w:bookmarkEnd w:id="448"/>
      <w:bookmarkEnd w:id="449"/>
      <w:bookmarkEnd w:id="450"/>
      <w:bookmarkEnd w:id="451"/>
      <w:bookmarkEnd w:id="452"/>
    </w:p>
    <w:p>
      <w:pPr>
        <w:pStyle w:val="6"/>
        <w:numPr>
          <w:ilvl w:val="1"/>
          <w:numId w:val="0"/>
        </w:numPr>
        <w:ind w:firstLine="422" w:firstLineChars="200"/>
        <w:rPr>
          <w:color w:val="auto"/>
          <w:highlight w:val="none"/>
        </w:rPr>
      </w:pPr>
      <w:r>
        <w:rPr>
          <w:rFonts w:hint="eastAsia"/>
          <w:color w:val="auto"/>
          <w:highlight w:val="none"/>
        </w:rPr>
        <w:t>20.1. 建筑工程一切险(含第三者责任险）</w:t>
      </w:r>
    </w:p>
    <w:p>
      <w:pPr>
        <w:pStyle w:val="7"/>
        <w:numPr>
          <w:ilvl w:val="2"/>
          <w:numId w:val="0"/>
        </w:numPr>
        <w:ind w:firstLine="420" w:firstLineChars="200"/>
        <w:rPr>
          <w:rFonts w:hAnsi="宋体"/>
          <w:color w:val="auto"/>
          <w:highlight w:val="none"/>
        </w:rPr>
      </w:pPr>
      <w:r>
        <w:rPr>
          <w:rFonts w:hint="eastAsia" w:hAnsi="宋体"/>
          <w:color w:val="auto"/>
          <w:highlight w:val="none"/>
        </w:rPr>
        <w:t>20.1.1. 有关建筑工程一切险（含第三者责任险）的投保条件规定如下：</w:t>
      </w:r>
    </w:p>
    <w:p>
      <w:pPr>
        <w:adjustRightInd w:val="0"/>
        <w:snapToGrid w:val="0"/>
        <w:spacing w:line="360" w:lineRule="auto"/>
        <w:ind w:firstLine="420" w:firstLineChars="200"/>
        <w:rPr>
          <w:rFonts w:ascii="宋体" w:hAnsi="宋体"/>
          <w:snapToGrid w:val="0"/>
          <w:color w:val="auto"/>
          <w:kern w:val="0"/>
          <w:szCs w:val="20"/>
          <w:highlight w:val="none"/>
        </w:rPr>
      </w:pPr>
      <w:r>
        <w:rPr>
          <w:rFonts w:hint="eastAsia" w:ascii="宋体" w:hAnsi="宋体"/>
          <w:snapToGrid w:val="0"/>
          <w:color w:val="auto"/>
          <w:kern w:val="0"/>
          <w:szCs w:val="20"/>
          <w:highlight w:val="none"/>
        </w:rPr>
        <w:t>1)发包人已为本工程购买了</w:t>
      </w:r>
      <w:r>
        <w:rPr>
          <w:rFonts w:ascii="宋体" w:hAnsi="宋体"/>
          <w:snapToGrid w:val="0"/>
          <w:color w:val="auto"/>
          <w:kern w:val="0"/>
          <w:szCs w:val="20"/>
          <w:highlight w:val="none"/>
        </w:rPr>
        <w:t xml:space="preserve"> “</w:t>
      </w:r>
      <w:r>
        <w:rPr>
          <w:rFonts w:hint="eastAsia" w:ascii="宋体" w:hAnsi="宋体"/>
          <w:snapToGrid w:val="0"/>
          <w:color w:val="auto"/>
          <w:kern w:val="0"/>
          <w:szCs w:val="20"/>
          <w:highlight w:val="none"/>
        </w:rPr>
        <w:t>建筑</w:t>
      </w:r>
      <w:r>
        <w:rPr>
          <w:rFonts w:ascii="宋体" w:hAnsi="宋体"/>
          <w:snapToGrid w:val="0"/>
          <w:color w:val="auto"/>
          <w:kern w:val="0"/>
          <w:szCs w:val="20"/>
          <w:highlight w:val="none"/>
        </w:rPr>
        <w:t>/</w:t>
      </w:r>
      <w:r>
        <w:rPr>
          <w:rFonts w:hint="eastAsia" w:ascii="宋体" w:hAnsi="宋体"/>
          <w:snapToGrid w:val="0"/>
          <w:color w:val="auto"/>
          <w:kern w:val="0"/>
          <w:szCs w:val="20"/>
          <w:highlight w:val="none"/>
        </w:rPr>
        <w:t>安装工程一切险</w:t>
      </w:r>
      <w:r>
        <w:rPr>
          <w:rFonts w:ascii="宋体" w:hAnsi="宋体"/>
          <w:snapToGrid w:val="0"/>
          <w:color w:val="auto"/>
          <w:kern w:val="0"/>
          <w:szCs w:val="20"/>
          <w:highlight w:val="none"/>
        </w:rPr>
        <w:t>”</w:t>
      </w:r>
      <w:r>
        <w:rPr>
          <w:rFonts w:hint="eastAsia" w:ascii="宋体" w:hAnsi="宋体"/>
          <w:snapToGrid w:val="0"/>
          <w:color w:val="auto"/>
          <w:kern w:val="0"/>
          <w:szCs w:val="20"/>
          <w:highlight w:val="none"/>
        </w:rPr>
        <w:t>，其范围已包括此承包工程，但相应免赔额、保险除外责任部分由承包人自行承担。该保险条款的详细内容承包人可在法定工作时间内到发包人的办公室查阅。对发包人保险条款中的特别除外部分，承包人应以自己的义务考虑加保与否，并承担加保费用。该项保险若因承包人的过失而需延长，因此而增加的保险费由承包人承担。</w:t>
      </w:r>
    </w:p>
    <w:p>
      <w:pPr>
        <w:adjustRightInd w:val="0"/>
        <w:snapToGrid w:val="0"/>
        <w:spacing w:line="360" w:lineRule="auto"/>
        <w:ind w:firstLine="420" w:firstLineChars="200"/>
        <w:rPr>
          <w:rFonts w:ascii="宋体" w:hAnsi="宋体"/>
          <w:snapToGrid w:val="0"/>
          <w:color w:val="auto"/>
          <w:kern w:val="0"/>
          <w:szCs w:val="20"/>
          <w:highlight w:val="none"/>
        </w:rPr>
      </w:pPr>
      <w:r>
        <w:rPr>
          <w:rFonts w:hint="eastAsia" w:ascii="宋体" w:hAnsi="宋体"/>
          <w:snapToGrid w:val="0"/>
          <w:color w:val="auto"/>
          <w:kern w:val="0"/>
          <w:szCs w:val="20"/>
          <w:highlight w:val="none"/>
        </w:rPr>
        <w:t>2)承包人须负责本工程每次索偿事件的现场保护工作，并及时向发包人提供保险公司所要求提交的有关索偿事件所需要的一切证据和资料，承包人确认上述工作所需要的费用已包括在合同价款内。发包人所购买的工程一切险和第三责任险并不能解除或减少承包人按合同条款应承担的责任。</w:t>
      </w:r>
    </w:p>
    <w:p>
      <w:pPr>
        <w:adjustRightInd w:val="0"/>
        <w:snapToGrid w:val="0"/>
        <w:spacing w:line="360" w:lineRule="auto"/>
        <w:ind w:firstLine="420" w:firstLineChars="200"/>
        <w:rPr>
          <w:rFonts w:ascii="宋体" w:hAnsi="宋体"/>
          <w:snapToGrid w:val="0"/>
          <w:color w:val="auto"/>
          <w:kern w:val="0"/>
          <w:szCs w:val="20"/>
          <w:highlight w:val="none"/>
        </w:rPr>
      </w:pPr>
      <w:r>
        <w:rPr>
          <w:rFonts w:hint="eastAsia" w:ascii="宋体" w:hAnsi="宋体"/>
          <w:snapToGrid w:val="0"/>
          <w:color w:val="auto"/>
          <w:kern w:val="0"/>
          <w:szCs w:val="20"/>
          <w:highlight w:val="none"/>
        </w:rPr>
        <w:t>3)有关一切险的索偿在提交给承保人后</w:t>
      </w:r>
      <w:r>
        <w:rPr>
          <w:rFonts w:ascii="宋体" w:hAnsi="宋体"/>
          <w:snapToGrid w:val="0"/>
          <w:color w:val="auto"/>
          <w:kern w:val="0"/>
          <w:szCs w:val="20"/>
          <w:highlight w:val="none"/>
        </w:rPr>
        <w:t>,</w:t>
      </w:r>
      <w:r>
        <w:rPr>
          <w:rFonts w:hint="eastAsia" w:ascii="宋体" w:hAnsi="宋体"/>
          <w:snapToGrid w:val="0"/>
          <w:color w:val="auto"/>
          <w:kern w:val="0"/>
          <w:szCs w:val="20"/>
          <w:highlight w:val="none"/>
        </w:rPr>
        <w:t>承包人须迅速地把损坏的工作复原</w:t>
      </w:r>
      <w:r>
        <w:rPr>
          <w:rFonts w:ascii="宋体" w:hAnsi="宋体"/>
          <w:snapToGrid w:val="0"/>
          <w:color w:val="auto"/>
          <w:kern w:val="0"/>
          <w:szCs w:val="20"/>
          <w:highlight w:val="none"/>
        </w:rPr>
        <w:t>,</w:t>
      </w:r>
      <w:r>
        <w:rPr>
          <w:rFonts w:hint="eastAsia" w:ascii="宋体" w:hAnsi="宋体"/>
          <w:snapToGrid w:val="0"/>
          <w:color w:val="auto"/>
          <w:kern w:val="0"/>
          <w:szCs w:val="20"/>
          <w:highlight w:val="none"/>
        </w:rPr>
        <w:t>把损失或损坏了的未安装物料替换或修补、迁离和处理任何残砾和继续执行和完成本工程。所有由保险得到的款项（减去顾问费），须在本合同规定的工程进度付款相隔时间，分期按工程进度付款方式支付给承包人。除保险所得的款项外，承包人不能对损坏工作的复原、未安装物料的替换和修补、及残砾的迁离和处理，收取其它费用。</w:t>
      </w:r>
    </w:p>
    <w:p>
      <w:pPr>
        <w:adjustRightInd w:val="0"/>
        <w:snapToGrid w:val="0"/>
        <w:spacing w:line="360" w:lineRule="auto"/>
        <w:ind w:firstLine="420" w:firstLineChars="200"/>
        <w:rPr>
          <w:rFonts w:ascii="宋体" w:hAnsi="宋体"/>
          <w:snapToGrid w:val="0"/>
          <w:color w:val="auto"/>
          <w:kern w:val="0"/>
          <w:szCs w:val="20"/>
          <w:highlight w:val="none"/>
        </w:rPr>
      </w:pPr>
      <w:r>
        <w:rPr>
          <w:rFonts w:hint="eastAsia" w:ascii="宋体" w:hAnsi="宋体"/>
          <w:snapToGrid w:val="0"/>
          <w:color w:val="auto"/>
          <w:kern w:val="0"/>
          <w:szCs w:val="20"/>
          <w:highlight w:val="none"/>
        </w:rPr>
        <w:t>4)若承包人认为发包人所购买的保险未能保障其自身的风险时，可自费补充投保。</w:t>
      </w:r>
    </w:p>
    <w:p>
      <w:pPr>
        <w:pStyle w:val="7"/>
        <w:numPr>
          <w:ilvl w:val="2"/>
          <w:numId w:val="0"/>
        </w:numPr>
        <w:ind w:firstLine="420" w:firstLineChars="200"/>
        <w:rPr>
          <w:rFonts w:hAnsi="宋体"/>
          <w:color w:val="auto"/>
          <w:highlight w:val="none"/>
        </w:rPr>
      </w:pPr>
      <w:r>
        <w:rPr>
          <w:rFonts w:hint="eastAsia" w:hAnsi="宋体"/>
          <w:color w:val="auto"/>
          <w:highlight w:val="none"/>
        </w:rPr>
        <w:t>20.3雇员赔偿保险</w:t>
      </w:r>
    </w:p>
    <w:p>
      <w:pPr>
        <w:adjustRightInd w:val="0"/>
        <w:snapToGrid w:val="0"/>
        <w:spacing w:line="360" w:lineRule="auto"/>
        <w:ind w:left="420"/>
        <w:rPr>
          <w:rFonts w:ascii="宋体" w:hAnsi="宋体"/>
          <w:snapToGrid w:val="0"/>
          <w:color w:val="auto"/>
          <w:kern w:val="0"/>
          <w:szCs w:val="20"/>
          <w:highlight w:val="none"/>
        </w:rPr>
      </w:pPr>
      <w:r>
        <w:rPr>
          <w:rFonts w:hint="eastAsia" w:ascii="宋体" w:hAnsi="宋体"/>
          <w:snapToGrid w:val="0"/>
          <w:color w:val="auto"/>
          <w:kern w:val="0"/>
          <w:szCs w:val="20"/>
          <w:highlight w:val="none"/>
        </w:rPr>
        <w:t>1)承包人员工人身意外保险</w:t>
      </w:r>
    </w:p>
    <w:p>
      <w:pPr>
        <w:autoSpaceDE w:val="0"/>
        <w:autoSpaceDN w:val="0"/>
        <w:adjustRightInd w:val="0"/>
        <w:snapToGri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承包人应在工程施工开始直至缺陷保修期完结期间对所有其雇用的工作人员进行此类保险并持续这类保险。但对于任何分包单位雇用任何人员，如果分包单位已经对上述雇员进行了保险，使发包人根据保险单得到补偿，则本条款前述的承包人保险义务即得到履行，但在必要时，承包人应要求分包单位向发包人提交有关的保险单及本期保险金的支付收据。一旦发生人员伤亡事故，承包人须立即通知发包人，并以书面形式提供详细经过。</w:t>
      </w:r>
    </w:p>
    <w:p>
      <w:pPr>
        <w:autoSpaceDE w:val="0"/>
        <w:autoSpaceDN w:val="0"/>
        <w:adjustRightInd w:val="0"/>
        <w:snapToGrid w:val="0"/>
        <w:spacing w:line="360" w:lineRule="auto"/>
        <w:ind w:firstLine="420" w:firstLineChars="200"/>
        <w:jc w:val="left"/>
        <w:rPr>
          <w:rFonts w:ascii="宋体" w:hAnsi="宋体"/>
          <w:snapToGrid w:val="0"/>
          <w:color w:val="auto"/>
          <w:kern w:val="0"/>
          <w:szCs w:val="20"/>
          <w:highlight w:val="none"/>
        </w:rPr>
      </w:pPr>
      <w:r>
        <w:rPr>
          <w:rFonts w:hint="eastAsia" w:ascii="宋体" w:hAnsi="宋体"/>
          <w:snapToGrid w:val="0"/>
          <w:color w:val="auto"/>
          <w:kern w:val="0"/>
          <w:szCs w:val="20"/>
          <w:highlight w:val="none"/>
        </w:rPr>
        <w:t>承包人须对其雇员的意外或伤亡负全责。承包人须与受雇者签订劳动合同，并与参与本工程的所有有关人员包括其自身的施工人员、管理人员及分包人（不论是否发包人指定的）的施工及管理人员等，投保其认为必要的人身意外保险。发包人对于任何雇员的意外或伤亡，不论该人是受雇于承包人还是其分包方（不论是否发包人指定的），都不负任何法律上的赔偿责任，承包人须保障发包人免负任何有关的索偿、要求、诉讼、成本、费用和支出。</w:t>
      </w:r>
    </w:p>
    <w:p>
      <w:pPr>
        <w:pStyle w:val="7"/>
        <w:numPr>
          <w:ilvl w:val="2"/>
          <w:numId w:val="0"/>
        </w:numPr>
        <w:ind w:firstLine="420" w:firstLineChars="200"/>
        <w:rPr>
          <w:rFonts w:hAnsi="宋体"/>
          <w:color w:val="auto"/>
          <w:highlight w:val="none"/>
        </w:rPr>
      </w:pPr>
      <w:r>
        <w:rPr>
          <w:rFonts w:hint="eastAsia" w:hAnsi="宋体"/>
          <w:color w:val="auto"/>
          <w:highlight w:val="none"/>
        </w:rPr>
        <w:t>20.4承包人应为本工程自费购买其认为所需的但不包含在发包人保险范围内的其他保险。承包人不得以任何理由对其未保险事项或不能向其保险公司收回的金额向发包人提出索赔。</w:t>
      </w:r>
    </w:p>
    <w:p>
      <w:pPr>
        <w:pStyle w:val="7"/>
        <w:numPr>
          <w:ilvl w:val="2"/>
          <w:numId w:val="0"/>
        </w:numPr>
        <w:ind w:firstLine="420" w:firstLineChars="200"/>
        <w:rPr>
          <w:rFonts w:hAnsi="宋体"/>
          <w:color w:val="auto"/>
          <w:highlight w:val="none"/>
        </w:rPr>
      </w:pPr>
      <w:r>
        <w:rPr>
          <w:rFonts w:hint="eastAsia" w:hAnsi="宋体"/>
          <w:color w:val="auto"/>
          <w:highlight w:val="none"/>
        </w:rPr>
        <w:t>20.5对各项保险的一般要求</w:t>
      </w:r>
    </w:p>
    <w:p>
      <w:pPr>
        <w:pStyle w:val="7"/>
        <w:numPr>
          <w:ilvl w:val="2"/>
          <w:numId w:val="0"/>
        </w:numPr>
        <w:ind w:firstLine="420" w:firstLineChars="200"/>
        <w:rPr>
          <w:rFonts w:hAnsi="宋体"/>
          <w:color w:val="auto"/>
          <w:highlight w:val="none"/>
        </w:rPr>
      </w:pPr>
      <w:r>
        <w:rPr>
          <w:rFonts w:hint="eastAsia" w:hAnsi="宋体"/>
          <w:color w:val="auto"/>
          <w:highlight w:val="none"/>
        </w:rPr>
        <w:t>20..5.1承包人不得在其投保合同条款中加入</w:t>
      </w:r>
      <w:r>
        <w:rPr>
          <w:rFonts w:hAnsi="宋体"/>
          <w:color w:val="auto"/>
          <w:highlight w:val="none"/>
        </w:rPr>
        <w:t>“</w:t>
      </w:r>
      <w:r>
        <w:rPr>
          <w:rFonts w:hint="eastAsia" w:hAnsi="宋体"/>
          <w:color w:val="auto"/>
          <w:highlight w:val="none"/>
        </w:rPr>
        <w:t>其保险人有权或可以向发包人的保险人提出索赔</w:t>
      </w:r>
      <w:r>
        <w:rPr>
          <w:rFonts w:hAnsi="宋体"/>
          <w:color w:val="auto"/>
          <w:highlight w:val="none"/>
        </w:rPr>
        <w:t>”</w:t>
      </w:r>
      <w:r>
        <w:rPr>
          <w:rFonts w:hint="eastAsia" w:hAnsi="宋体"/>
          <w:color w:val="auto"/>
          <w:highlight w:val="none"/>
        </w:rPr>
        <w:t>的条款。</w:t>
      </w:r>
    </w:p>
    <w:p>
      <w:pPr>
        <w:pStyle w:val="7"/>
        <w:numPr>
          <w:ilvl w:val="2"/>
          <w:numId w:val="0"/>
        </w:numPr>
        <w:ind w:firstLine="420" w:firstLineChars="200"/>
        <w:rPr>
          <w:rFonts w:hAnsi="宋体"/>
          <w:color w:val="auto"/>
          <w:highlight w:val="none"/>
        </w:rPr>
      </w:pPr>
      <w:r>
        <w:rPr>
          <w:rFonts w:hint="eastAsia" w:hAnsi="宋体"/>
          <w:color w:val="auto"/>
          <w:highlight w:val="none"/>
        </w:rPr>
        <w:t>20.5.2承包人应在工程开工前向发包人提供根据合同要求的保险投保证明，并在承包人所需保险的工作开始前提前</w:t>
      </w:r>
      <w:r>
        <w:rPr>
          <w:rFonts w:hAnsi="宋体"/>
          <w:color w:val="auto"/>
          <w:highlight w:val="none"/>
        </w:rPr>
        <w:t>7</w:t>
      </w:r>
      <w:r>
        <w:rPr>
          <w:rFonts w:hint="eastAsia" w:hAnsi="宋体"/>
          <w:color w:val="auto"/>
          <w:highlight w:val="none"/>
        </w:rPr>
        <w:t>天以上向发包人提交有效的保险单，保险单应与合同的条款一致，承包人投保的保险公司应经发包人批准。</w:t>
      </w:r>
    </w:p>
    <w:p>
      <w:pPr>
        <w:pStyle w:val="7"/>
        <w:numPr>
          <w:ilvl w:val="2"/>
          <w:numId w:val="0"/>
        </w:numPr>
        <w:ind w:firstLine="420" w:firstLineChars="200"/>
        <w:rPr>
          <w:rFonts w:hAnsi="宋体"/>
          <w:color w:val="auto"/>
          <w:highlight w:val="none"/>
        </w:rPr>
      </w:pPr>
      <w:r>
        <w:rPr>
          <w:rFonts w:hint="eastAsia" w:hAnsi="宋体"/>
          <w:color w:val="auto"/>
          <w:highlight w:val="none"/>
        </w:rPr>
        <w:t>20.5.3承包人应在施工进度、范围、性质发生变化时通知其保险人，以确保根据合同条款在所有时间内有完备的保险，由此所发生的费用，由承包人自行承担。</w:t>
      </w:r>
    </w:p>
    <w:p>
      <w:pPr>
        <w:pStyle w:val="7"/>
        <w:numPr>
          <w:ilvl w:val="2"/>
          <w:numId w:val="0"/>
        </w:numPr>
        <w:ind w:firstLine="420" w:firstLineChars="200"/>
        <w:rPr>
          <w:rFonts w:hAnsi="宋体"/>
          <w:color w:val="auto"/>
          <w:highlight w:val="none"/>
        </w:rPr>
      </w:pPr>
      <w:r>
        <w:rPr>
          <w:rFonts w:hint="eastAsia" w:hAnsi="宋体"/>
          <w:color w:val="auto"/>
          <w:highlight w:val="none"/>
        </w:rPr>
        <w:t>20.5.4如果承包人未使或未保证任何合同规定的保险生效，或未按规定的时间向发包人提供保险单，发包人在任何这种情况发生时，有权使任何这些保险生效并支付保险金，并随时从支付给或应支付给承包人的款项中扣回，或视同到期债务从承包人扣回。</w:t>
      </w:r>
    </w:p>
    <w:p>
      <w:pPr>
        <w:pStyle w:val="7"/>
        <w:numPr>
          <w:ilvl w:val="2"/>
          <w:numId w:val="0"/>
        </w:numPr>
        <w:ind w:firstLine="420" w:firstLineChars="200"/>
        <w:rPr>
          <w:rFonts w:hAnsi="宋体"/>
          <w:color w:val="auto"/>
          <w:highlight w:val="none"/>
        </w:rPr>
      </w:pPr>
      <w:r>
        <w:rPr>
          <w:rFonts w:hint="eastAsia" w:hAnsi="宋体"/>
          <w:color w:val="auto"/>
          <w:highlight w:val="none"/>
        </w:rPr>
        <w:t>20.5.5承包人或发包人未能遵循根据合同生效的保险单条款给对方造成损失的，责任一方应赔偿另一方由此而造成的全部损失。但承包人投保的保险合同投保前未经发包人确认，或使发包人承担责任或费用的除外。</w:t>
      </w:r>
    </w:p>
    <w:p>
      <w:pPr>
        <w:pStyle w:val="7"/>
        <w:numPr>
          <w:ilvl w:val="2"/>
          <w:numId w:val="0"/>
        </w:numPr>
        <w:ind w:firstLine="420" w:firstLineChars="200"/>
        <w:rPr>
          <w:rFonts w:hAnsi="宋体"/>
          <w:color w:val="auto"/>
          <w:highlight w:val="none"/>
        </w:rPr>
      </w:pPr>
      <w:r>
        <w:rPr>
          <w:rFonts w:hint="eastAsia" w:hAnsi="宋体"/>
          <w:color w:val="auto"/>
          <w:highlight w:val="none"/>
        </w:rPr>
        <w:t>20.</w:t>
      </w:r>
      <w:r>
        <w:rPr>
          <w:rFonts w:hAnsi="宋体"/>
          <w:color w:val="auto"/>
          <w:highlight w:val="none"/>
        </w:rPr>
        <w:t>5.6</w:t>
      </w:r>
      <w:r>
        <w:rPr>
          <w:rFonts w:hint="eastAsia" w:hAnsi="宋体"/>
          <w:color w:val="auto"/>
          <w:highlight w:val="none"/>
        </w:rPr>
        <w:t>若承包人未能按规定购买和维持该等保险，发包人可代为投保，保险费在支付的工程款中抵扣。</w:t>
      </w:r>
    </w:p>
    <w:p>
      <w:pPr>
        <w:pStyle w:val="5"/>
        <w:spacing w:before="156" w:beforeLines="50"/>
        <w:rPr>
          <w:color w:val="auto"/>
          <w:highlight w:val="none"/>
        </w:rPr>
      </w:pPr>
      <w:bookmarkStart w:id="453" w:name="_Toc33445913"/>
      <w:bookmarkStart w:id="454" w:name="_Toc350865223"/>
      <w:bookmarkStart w:id="455" w:name="_Toc33092201"/>
      <w:bookmarkStart w:id="456" w:name="_Toc133502213"/>
      <w:bookmarkStart w:id="457" w:name="_Toc33446091"/>
      <w:bookmarkStart w:id="458" w:name="_Toc33448418"/>
      <w:bookmarkStart w:id="459" w:name="_Toc350865585"/>
      <w:bookmarkStart w:id="460" w:name="_Toc33448489"/>
      <w:bookmarkStart w:id="461" w:name="_Toc16923"/>
      <w:bookmarkStart w:id="462" w:name="_Toc33445988"/>
      <w:bookmarkStart w:id="463" w:name="_Toc427331256"/>
      <w:r>
        <w:rPr>
          <w:rFonts w:hint="eastAsia"/>
          <w:color w:val="auto"/>
          <w:highlight w:val="none"/>
        </w:rPr>
        <w:t>2</w:t>
      </w:r>
      <w:r>
        <w:rPr>
          <w:color w:val="auto"/>
          <w:highlight w:val="none"/>
        </w:rPr>
        <w:t>1</w:t>
      </w:r>
      <w:r>
        <w:rPr>
          <w:rFonts w:hint="eastAsia"/>
          <w:color w:val="auto"/>
          <w:highlight w:val="none"/>
        </w:rPr>
        <w:t>不可抗力</w:t>
      </w:r>
      <w:bookmarkEnd w:id="453"/>
      <w:bookmarkEnd w:id="454"/>
      <w:bookmarkEnd w:id="455"/>
      <w:bookmarkEnd w:id="456"/>
      <w:bookmarkEnd w:id="457"/>
      <w:bookmarkEnd w:id="458"/>
      <w:bookmarkEnd w:id="459"/>
      <w:bookmarkEnd w:id="460"/>
      <w:bookmarkEnd w:id="461"/>
      <w:bookmarkEnd w:id="462"/>
      <w:bookmarkEnd w:id="463"/>
    </w:p>
    <w:p>
      <w:pPr>
        <w:pStyle w:val="6"/>
        <w:ind w:firstLine="422" w:firstLineChars="200"/>
        <w:rPr>
          <w:color w:val="auto"/>
          <w:highlight w:val="none"/>
        </w:rPr>
      </w:pPr>
      <w:r>
        <w:rPr>
          <w:color w:val="auto"/>
          <w:highlight w:val="none"/>
        </w:rPr>
        <w:t>21</w:t>
      </w:r>
      <w:r>
        <w:rPr>
          <w:rFonts w:hint="eastAsia"/>
          <w:color w:val="auto"/>
          <w:highlight w:val="none"/>
        </w:rPr>
        <w:t>.1不可抗力的确认</w:t>
      </w:r>
    </w:p>
    <w:p>
      <w:pPr>
        <w:spacing w:line="360" w:lineRule="auto"/>
        <w:ind w:firstLine="420" w:firstLineChars="200"/>
        <w:rPr>
          <w:color w:val="auto"/>
          <w:highlight w:val="none"/>
        </w:rPr>
      </w:pPr>
      <w:r>
        <w:rPr>
          <w:color w:val="auto"/>
          <w:highlight w:val="none"/>
        </w:rPr>
        <w:t>21</w:t>
      </w:r>
      <w:r>
        <w:rPr>
          <w:rFonts w:hint="eastAsia"/>
          <w:color w:val="auto"/>
          <w:highlight w:val="none"/>
        </w:rPr>
        <w:t>.1.1不可抗力是指发包人和承包人在订立合同时不可预见，在工程施工过程中不可避免发生并不能克服的自然灾害和社会性突发事件，如地震、海啸、瘟疫、水灾、骚乱、暴动、战争等。</w:t>
      </w:r>
    </w:p>
    <w:p>
      <w:pPr>
        <w:spacing w:line="360" w:lineRule="auto"/>
        <w:ind w:firstLine="420" w:firstLineChars="200"/>
        <w:rPr>
          <w:color w:val="auto"/>
          <w:highlight w:val="none"/>
        </w:rPr>
      </w:pPr>
      <w:r>
        <w:rPr>
          <w:color w:val="auto"/>
          <w:highlight w:val="none"/>
        </w:rPr>
        <w:t>21</w:t>
      </w:r>
      <w:r>
        <w:rPr>
          <w:rFonts w:hint="eastAsia"/>
          <w:color w:val="auto"/>
          <w:highlight w:val="none"/>
        </w:rPr>
        <w:t>.1.2不可抗力发生后，发包人和承包人应及时认真统计所造成的损失，收集不可抗力造成损失的证据。合同当事人双方对是否属于不可抗力或其损失的意见不一致的，由双方商定或确定。发生争议时，按第23条的约定办理。</w:t>
      </w:r>
    </w:p>
    <w:p>
      <w:pPr>
        <w:pStyle w:val="6"/>
        <w:ind w:firstLine="422" w:firstLineChars="200"/>
        <w:rPr>
          <w:color w:val="auto"/>
          <w:highlight w:val="none"/>
        </w:rPr>
      </w:pPr>
      <w:r>
        <w:rPr>
          <w:color w:val="auto"/>
          <w:highlight w:val="none"/>
        </w:rPr>
        <w:t>21</w:t>
      </w:r>
      <w:r>
        <w:rPr>
          <w:rFonts w:hint="eastAsia"/>
          <w:color w:val="auto"/>
          <w:highlight w:val="none"/>
        </w:rPr>
        <w:t>.2不可抗力的通知</w:t>
      </w:r>
    </w:p>
    <w:p>
      <w:pPr>
        <w:spacing w:line="360" w:lineRule="auto"/>
        <w:ind w:firstLine="420" w:firstLineChars="200"/>
        <w:rPr>
          <w:color w:val="auto"/>
          <w:highlight w:val="none"/>
        </w:rPr>
      </w:pPr>
      <w:r>
        <w:rPr>
          <w:color w:val="auto"/>
          <w:highlight w:val="none"/>
        </w:rPr>
        <w:t>21</w:t>
      </w:r>
      <w:r>
        <w:rPr>
          <w:rFonts w:hint="eastAsia"/>
          <w:color w:val="auto"/>
          <w:highlight w:val="none"/>
        </w:rPr>
        <w:t>.2.1合同一方当事人遇到不可抗力事件，使其履行合同义务受到阻碍时，应立即通知合同另一方当事人和监理人，书面说明不可抗力和受阻碍的详细情况，并提供必要的证明。</w:t>
      </w:r>
    </w:p>
    <w:p>
      <w:pPr>
        <w:spacing w:line="360" w:lineRule="auto"/>
        <w:ind w:firstLine="420" w:firstLineChars="200"/>
        <w:rPr>
          <w:color w:val="auto"/>
          <w:highlight w:val="none"/>
        </w:rPr>
      </w:pPr>
      <w:r>
        <w:rPr>
          <w:color w:val="auto"/>
          <w:highlight w:val="none"/>
        </w:rPr>
        <w:t>21</w:t>
      </w:r>
      <w:r>
        <w:rPr>
          <w:rFonts w:hint="eastAsia"/>
          <w:color w:val="auto"/>
          <w:highlight w:val="none"/>
        </w:rPr>
        <w:t>.2.2如不可抗力持续发生，合同一方当事人应及时向合同另一方当事人和监理人提交中间报告，说明不可抗力和履行合同受阻的情况，并于不可抗力事件结束后28天内提交最终报告及有关资料。</w:t>
      </w:r>
    </w:p>
    <w:p>
      <w:pPr>
        <w:pStyle w:val="6"/>
        <w:ind w:firstLine="422" w:firstLineChars="200"/>
        <w:rPr>
          <w:color w:val="auto"/>
          <w:highlight w:val="none"/>
        </w:rPr>
      </w:pPr>
      <w:r>
        <w:rPr>
          <w:color w:val="auto"/>
          <w:highlight w:val="none"/>
        </w:rPr>
        <w:t>21</w:t>
      </w:r>
      <w:r>
        <w:rPr>
          <w:rFonts w:hint="eastAsia"/>
          <w:color w:val="auto"/>
          <w:highlight w:val="none"/>
        </w:rPr>
        <w:t>.3不可抗力后果及其处理</w:t>
      </w:r>
    </w:p>
    <w:p>
      <w:pPr>
        <w:spacing w:line="360" w:lineRule="auto"/>
        <w:ind w:firstLine="420" w:firstLineChars="200"/>
        <w:rPr>
          <w:color w:val="auto"/>
          <w:highlight w:val="none"/>
        </w:rPr>
      </w:pPr>
      <w:r>
        <w:rPr>
          <w:color w:val="auto"/>
          <w:highlight w:val="none"/>
        </w:rPr>
        <w:t>21</w:t>
      </w:r>
      <w:r>
        <w:rPr>
          <w:rFonts w:hint="eastAsia"/>
          <w:color w:val="auto"/>
          <w:highlight w:val="none"/>
        </w:rPr>
        <w:t>.3.1不可抗力发生后，双方均应采取措施尽量避免和减少损失的扩大，任何一方没有采取有效措施导致损失扩大的，应对扩大的损失承担责任。</w:t>
      </w:r>
    </w:p>
    <w:p>
      <w:pPr>
        <w:spacing w:line="360" w:lineRule="auto"/>
        <w:ind w:firstLine="420" w:firstLineChars="200"/>
        <w:rPr>
          <w:color w:val="auto"/>
          <w:highlight w:val="none"/>
        </w:rPr>
      </w:pPr>
      <w:r>
        <w:rPr>
          <w:color w:val="auto"/>
          <w:highlight w:val="none"/>
        </w:rPr>
        <w:t>21</w:t>
      </w:r>
      <w:r>
        <w:rPr>
          <w:rFonts w:hint="eastAsia"/>
          <w:color w:val="auto"/>
          <w:highlight w:val="none"/>
        </w:rPr>
        <w:t>.3.2除本合同另有约定外，不可抗力导致的人员伤亡、财产损失、费用增加和（或）工期延误等后果，由双方按以下原则承担：</w:t>
      </w:r>
    </w:p>
    <w:p>
      <w:pPr>
        <w:spacing w:line="360" w:lineRule="auto"/>
        <w:ind w:firstLine="420" w:firstLineChars="200"/>
        <w:rPr>
          <w:color w:val="auto"/>
          <w:highlight w:val="none"/>
        </w:rPr>
      </w:pPr>
      <w:r>
        <w:rPr>
          <w:rFonts w:hint="eastAsia"/>
          <w:color w:val="auto"/>
          <w:highlight w:val="none"/>
        </w:rPr>
        <w:t>1)</w:t>
      </w:r>
      <w:r>
        <w:rPr>
          <w:rFonts w:hint="eastAsia"/>
          <w:color w:val="auto"/>
          <w:highlight w:val="none"/>
        </w:rPr>
        <w:tab/>
      </w:r>
      <w:r>
        <w:rPr>
          <w:rFonts w:hint="eastAsia"/>
          <w:color w:val="auto"/>
          <w:highlight w:val="none"/>
        </w:rPr>
        <w:t>永久工程，包括已运至施工场地的材料和工程设备的损害，以及因工程损害造成的第三者人员伤亡和财产损失由发包人承担；</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rPr>
        <w:tab/>
      </w:r>
      <w:r>
        <w:rPr>
          <w:rFonts w:hint="eastAsia"/>
          <w:color w:val="auto"/>
          <w:highlight w:val="none"/>
        </w:rPr>
        <w:t>承包人设备的损坏由承包人承担；</w:t>
      </w:r>
    </w:p>
    <w:p>
      <w:pPr>
        <w:spacing w:line="360" w:lineRule="auto"/>
        <w:ind w:firstLine="420" w:firstLineChars="200"/>
        <w:rPr>
          <w:color w:val="auto"/>
          <w:highlight w:val="none"/>
        </w:rPr>
      </w:pPr>
      <w:r>
        <w:rPr>
          <w:rFonts w:hint="eastAsia"/>
          <w:color w:val="auto"/>
          <w:highlight w:val="none"/>
        </w:rPr>
        <w:t>3)</w:t>
      </w:r>
      <w:r>
        <w:rPr>
          <w:rFonts w:hint="eastAsia"/>
          <w:color w:val="auto"/>
          <w:highlight w:val="none"/>
        </w:rPr>
        <w:tab/>
      </w:r>
      <w:r>
        <w:rPr>
          <w:rFonts w:hint="eastAsia"/>
          <w:color w:val="auto"/>
          <w:highlight w:val="none"/>
        </w:rPr>
        <w:t>双方各自承担其人员伤亡和其他财产损失及其相关费用；</w:t>
      </w:r>
    </w:p>
    <w:p>
      <w:pPr>
        <w:spacing w:line="360" w:lineRule="auto"/>
        <w:ind w:firstLine="420" w:firstLineChars="200"/>
        <w:rPr>
          <w:color w:val="auto"/>
          <w:highlight w:val="none"/>
        </w:rPr>
      </w:pPr>
      <w:r>
        <w:rPr>
          <w:rFonts w:hint="eastAsia"/>
          <w:color w:val="auto"/>
          <w:highlight w:val="none"/>
        </w:rPr>
        <w:t>4)</w:t>
      </w:r>
      <w:r>
        <w:rPr>
          <w:rFonts w:hint="eastAsia"/>
          <w:color w:val="auto"/>
          <w:highlight w:val="none"/>
        </w:rPr>
        <w:tab/>
      </w:r>
      <w:r>
        <w:rPr>
          <w:rFonts w:hint="eastAsia"/>
          <w:color w:val="auto"/>
          <w:highlight w:val="none"/>
        </w:rPr>
        <w:t>承包人的停工损失由承包人承担，但停工期间应监理人要求照管工程和清理、修复工程的金额由发包人承担；</w:t>
      </w:r>
    </w:p>
    <w:p>
      <w:pPr>
        <w:spacing w:line="360" w:lineRule="auto"/>
        <w:ind w:firstLine="420" w:firstLineChars="200"/>
        <w:rPr>
          <w:color w:val="auto"/>
          <w:highlight w:val="none"/>
        </w:rPr>
      </w:pPr>
      <w:r>
        <w:rPr>
          <w:rFonts w:hint="eastAsia"/>
          <w:color w:val="auto"/>
          <w:highlight w:val="none"/>
        </w:rPr>
        <w:t>不能按期竣工的，应合理延长工期，发包人不需支付逾期竣工违约金。发包人要求赶工的承包人应采取赶工措施，赶工费用由发包人承担。</w:t>
      </w:r>
      <w:r>
        <w:rPr>
          <w:rFonts w:hint="eastAsia"/>
          <w:color w:val="auto"/>
          <w:highlight w:val="none"/>
        </w:rPr>
        <w:tab/>
      </w:r>
      <w:bookmarkStart w:id="464" w:name="_Toc427331257"/>
      <w:bookmarkStart w:id="465" w:name="_Toc33448419"/>
      <w:bookmarkStart w:id="466" w:name="_Toc33445989"/>
      <w:bookmarkStart w:id="467" w:name="_Toc133502214"/>
      <w:bookmarkStart w:id="468" w:name="_Toc350865224"/>
      <w:bookmarkStart w:id="469" w:name="_Toc33445914"/>
      <w:bookmarkStart w:id="470" w:name="_Toc33092202"/>
      <w:bookmarkStart w:id="471" w:name="_Toc350865586"/>
      <w:bookmarkStart w:id="472" w:name="_Toc31252"/>
      <w:bookmarkStart w:id="473" w:name="_Toc33446092"/>
      <w:bookmarkStart w:id="474" w:name="_Toc33448490"/>
    </w:p>
    <w:p>
      <w:pPr>
        <w:pStyle w:val="5"/>
        <w:spacing w:before="156" w:beforeLines="50"/>
        <w:rPr>
          <w:color w:val="auto"/>
          <w:highlight w:val="none"/>
        </w:rPr>
      </w:pPr>
      <w:r>
        <w:rPr>
          <w:rFonts w:hint="eastAsia"/>
          <w:color w:val="auto"/>
          <w:highlight w:val="none"/>
        </w:rPr>
        <w:t>2</w:t>
      </w:r>
      <w:r>
        <w:rPr>
          <w:color w:val="auto"/>
          <w:highlight w:val="none"/>
        </w:rPr>
        <w:t>2</w:t>
      </w:r>
      <w:r>
        <w:rPr>
          <w:rFonts w:hint="eastAsia"/>
          <w:color w:val="auto"/>
          <w:highlight w:val="none"/>
        </w:rPr>
        <w:t>违约</w:t>
      </w:r>
      <w:bookmarkEnd w:id="464"/>
      <w:bookmarkEnd w:id="465"/>
      <w:bookmarkEnd w:id="466"/>
      <w:bookmarkEnd w:id="467"/>
      <w:bookmarkEnd w:id="468"/>
      <w:bookmarkEnd w:id="469"/>
      <w:bookmarkEnd w:id="470"/>
      <w:bookmarkEnd w:id="471"/>
      <w:bookmarkEnd w:id="472"/>
      <w:bookmarkEnd w:id="473"/>
      <w:bookmarkEnd w:id="474"/>
    </w:p>
    <w:p>
      <w:pPr>
        <w:pStyle w:val="6"/>
        <w:numPr>
          <w:ilvl w:val="1"/>
          <w:numId w:val="0"/>
        </w:numPr>
        <w:ind w:firstLine="422" w:firstLineChars="200"/>
        <w:rPr>
          <w:color w:val="auto"/>
          <w:highlight w:val="none"/>
        </w:rPr>
      </w:pPr>
      <w:r>
        <w:rPr>
          <w:rFonts w:hint="eastAsia"/>
          <w:color w:val="auto"/>
          <w:highlight w:val="none"/>
        </w:rPr>
        <w:t>22.1 承包人违约</w:t>
      </w:r>
    </w:p>
    <w:p>
      <w:pPr>
        <w:spacing w:line="360" w:lineRule="auto"/>
        <w:ind w:firstLine="420" w:firstLineChars="200"/>
        <w:rPr>
          <w:rFonts w:hAnsi="Arial"/>
          <w:color w:val="auto"/>
          <w:szCs w:val="20"/>
          <w:highlight w:val="none"/>
        </w:rPr>
      </w:pPr>
      <w:r>
        <w:rPr>
          <w:rFonts w:hint="eastAsia" w:hAnsi="Arial"/>
          <w:color w:val="auto"/>
          <w:szCs w:val="20"/>
          <w:highlight w:val="none"/>
        </w:rPr>
        <w:t>22.1.1 通用条款22.1.1修订为：承包人有任何违反本合同责任和义务的行为均构成违约，包括但不限于在履行合同过程中发生的下列情况：</w:t>
      </w:r>
    </w:p>
    <w:p>
      <w:pPr>
        <w:spacing w:line="360" w:lineRule="auto"/>
        <w:ind w:firstLine="420" w:firstLineChars="200"/>
        <w:rPr>
          <w:rFonts w:hAnsi="Arial"/>
          <w:color w:val="auto"/>
          <w:szCs w:val="20"/>
          <w:highlight w:val="none"/>
        </w:rPr>
      </w:pPr>
      <w:r>
        <w:rPr>
          <w:rFonts w:hint="eastAsia" w:hAnsi="Arial"/>
          <w:color w:val="auto"/>
          <w:szCs w:val="20"/>
          <w:highlight w:val="none"/>
        </w:rPr>
        <w:t>1)</w:t>
      </w:r>
      <w:r>
        <w:rPr>
          <w:rFonts w:hint="eastAsia" w:hAnsi="Arial"/>
          <w:color w:val="auto"/>
          <w:szCs w:val="20"/>
          <w:highlight w:val="none"/>
        </w:rPr>
        <w:tab/>
      </w:r>
      <w:r>
        <w:rPr>
          <w:rFonts w:hint="eastAsia" w:hAnsi="Arial"/>
          <w:color w:val="auto"/>
          <w:szCs w:val="20"/>
          <w:highlight w:val="none"/>
        </w:rPr>
        <w:t>承包人私自将合同的全部或部分权利转让给其他人，或私自将合同的全部或部分义务转移给其他人；</w:t>
      </w:r>
    </w:p>
    <w:p>
      <w:pPr>
        <w:spacing w:line="360" w:lineRule="auto"/>
        <w:ind w:firstLine="420" w:firstLineChars="200"/>
        <w:rPr>
          <w:rFonts w:hAnsi="Arial"/>
          <w:color w:val="auto"/>
          <w:szCs w:val="20"/>
          <w:highlight w:val="none"/>
        </w:rPr>
      </w:pPr>
      <w:r>
        <w:rPr>
          <w:rFonts w:hint="eastAsia" w:hAnsi="Arial"/>
          <w:color w:val="auto"/>
          <w:szCs w:val="20"/>
          <w:highlight w:val="none"/>
        </w:rPr>
        <w:t>2)</w:t>
      </w:r>
      <w:r>
        <w:rPr>
          <w:rFonts w:hint="eastAsia" w:hAnsi="Arial"/>
          <w:color w:val="auto"/>
          <w:szCs w:val="20"/>
          <w:highlight w:val="none"/>
        </w:rPr>
        <w:tab/>
      </w:r>
      <w:r>
        <w:rPr>
          <w:rFonts w:hint="eastAsia" w:hAnsi="Arial"/>
          <w:color w:val="auto"/>
          <w:szCs w:val="20"/>
          <w:highlight w:val="none"/>
        </w:rPr>
        <w:t>承包人未经监理人批准，私自将已按合同约定进入施工场地的施工设备、临时设施或材料撤离施工场地；</w:t>
      </w:r>
    </w:p>
    <w:p>
      <w:pPr>
        <w:spacing w:line="360" w:lineRule="auto"/>
        <w:ind w:firstLine="420" w:firstLineChars="200"/>
        <w:rPr>
          <w:rFonts w:hAnsi="Arial"/>
          <w:color w:val="auto"/>
          <w:szCs w:val="20"/>
          <w:highlight w:val="none"/>
        </w:rPr>
      </w:pPr>
      <w:r>
        <w:rPr>
          <w:rFonts w:hint="eastAsia" w:hAnsi="Arial"/>
          <w:color w:val="auto"/>
          <w:szCs w:val="20"/>
          <w:highlight w:val="none"/>
        </w:rPr>
        <w:t>3)</w:t>
      </w:r>
      <w:r>
        <w:rPr>
          <w:rFonts w:hint="eastAsia" w:hAnsi="Arial"/>
          <w:color w:val="auto"/>
          <w:szCs w:val="20"/>
          <w:highlight w:val="none"/>
        </w:rPr>
        <w:tab/>
      </w:r>
      <w:r>
        <w:rPr>
          <w:rFonts w:hint="eastAsia" w:hAnsi="Arial"/>
          <w:color w:val="auto"/>
          <w:szCs w:val="20"/>
          <w:highlight w:val="none"/>
        </w:rPr>
        <w:t>承包人使用了不合格材料或工程设备，工程质量达不到标准要求，又拒绝清除不合格工程；</w:t>
      </w:r>
    </w:p>
    <w:p>
      <w:pPr>
        <w:spacing w:line="360" w:lineRule="auto"/>
        <w:ind w:firstLine="420" w:firstLineChars="200"/>
        <w:rPr>
          <w:rFonts w:hAnsi="Arial"/>
          <w:color w:val="auto"/>
          <w:szCs w:val="20"/>
          <w:highlight w:val="none"/>
        </w:rPr>
      </w:pPr>
      <w:r>
        <w:rPr>
          <w:rFonts w:hint="eastAsia" w:hAnsi="Arial"/>
          <w:color w:val="auto"/>
          <w:szCs w:val="20"/>
          <w:highlight w:val="none"/>
        </w:rPr>
        <w:t>4)</w:t>
      </w:r>
      <w:r>
        <w:rPr>
          <w:rFonts w:hint="eastAsia" w:hAnsi="Arial"/>
          <w:color w:val="auto"/>
          <w:szCs w:val="20"/>
          <w:highlight w:val="none"/>
        </w:rPr>
        <w:tab/>
      </w:r>
      <w:r>
        <w:rPr>
          <w:rFonts w:hint="eastAsia" w:hAnsi="Arial"/>
          <w:color w:val="auto"/>
          <w:szCs w:val="20"/>
          <w:highlight w:val="none"/>
        </w:rPr>
        <w:t>承包人未能按合同进度计划及时完成合同约定的工作，已造成或预期造成工期延误；</w:t>
      </w:r>
    </w:p>
    <w:p>
      <w:pPr>
        <w:spacing w:line="360" w:lineRule="auto"/>
        <w:ind w:firstLine="420" w:firstLineChars="200"/>
        <w:rPr>
          <w:rFonts w:hAnsi="Arial"/>
          <w:color w:val="auto"/>
          <w:szCs w:val="20"/>
          <w:highlight w:val="none"/>
        </w:rPr>
      </w:pPr>
      <w:r>
        <w:rPr>
          <w:rFonts w:hint="eastAsia" w:hAnsi="Arial"/>
          <w:color w:val="auto"/>
          <w:szCs w:val="20"/>
          <w:highlight w:val="none"/>
        </w:rPr>
        <w:t>5)</w:t>
      </w:r>
      <w:r>
        <w:rPr>
          <w:rFonts w:hint="eastAsia" w:hAnsi="Arial"/>
          <w:color w:val="auto"/>
          <w:szCs w:val="20"/>
          <w:highlight w:val="none"/>
        </w:rPr>
        <w:tab/>
      </w:r>
      <w:r>
        <w:rPr>
          <w:rFonts w:hint="eastAsia" w:hAnsi="Arial"/>
          <w:color w:val="auto"/>
          <w:szCs w:val="20"/>
          <w:highlight w:val="none"/>
        </w:rPr>
        <w:t>承包人无法继续履行或明确表示不履行或实质上已停止履行合同；</w:t>
      </w:r>
    </w:p>
    <w:p>
      <w:pPr>
        <w:spacing w:line="360" w:lineRule="auto"/>
        <w:ind w:firstLine="420" w:firstLineChars="200"/>
        <w:rPr>
          <w:rFonts w:hAnsi="Arial"/>
          <w:color w:val="auto"/>
          <w:szCs w:val="20"/>
          <w:highlight w:val="none"/>
        </w:rPr>
      </w:pPr>
      <w:r>
        <w:rPr>
          <w:rFonts w:hint="eastAsia" w:hAnsi="Arial"/>
          <w:color w:val="auto"/>
          <w:szCs w:val="20"/>
          <w:highlight w:val="none"/>
        </w:rPr>
        <w:t>6)</w:t>
      </w:r>
      <w:r>
        <w:rPr>
          <w:rFonts w:hint="eastAsia" w:hAnsi="Arial"/>
          <w:color w:val="auto"/>
          <w:szCs w:val="20"/>
          <w:highlight w:val="none"/>
        </w:rPr>
        <w:tab/>
      </w:r>
      <w:r>
        <w:rPr>
          <w:rFonts w:hint="eastAsia" w:hAnsi="Arial"/>
          <w:color w:val="auto"/>
          <w:szCs w:val="20"/>
          <w:highlight w:val="none"/>
        </w:rPr>
        <w:t>承包人不按合同约定履行义务的其他情况。</w:t>
      </w:r>
    </w:p>
    <w:p>
      <w:pPr>
        <w:spacing w:line="360" w:lineRule="auto"/>
        <w:ind w:firstLine="420" w:firstLineChars="200"/>
        <w:rPr>
          <w:rFonts w:hAnsi="Arial"/>
          <w:color w:val="auto"/>
          <w:szCs w:val="20"/>
          <w:highlight w:val="none"/>
        </w:rPr>
      </w:pPr>
      <w:r>
        <w:rPr>
          <w:rFonts w:hint="eastAsia" w:hAnsi="Arial"/>
          <w:color w:val="auto"/>
          <w:szCs w:val="20"/>
          <w:highlight w:val="none"/>
        </w:rPr>
        <w:t>22.1.3.</w:t>
      </w:r>
      <w:r>
        <w:rPr>
          <w:rFonts w:hint="eastAsia" w:hAnsi="Arial"/>
          <w:color w:val="auto"/>
          <w:szCs w:val="20"/>
          <w:highlight w:val="none"/>
        </w:rPr>
        <w:tab/>
      </w:r>
      <w:r>
        <w:rPr>
          <w:rFonts w:hint="eastAsia" w:hAnsi="Arial"/>
          <w:color w:val="auto"/>
          <w:szCs w:val="20"/>
          <w:highlight w:val="none"/>
        </w:rPr>
        <w:t>通用条款22.1.3的第1）~3）条不适用本合同，修订为：</w:t>
      </w:r>
    </w:p>
    <w:p>
      <w:pPr>
        <w:spacing w:line="360" w:lineRule="auto"/>
        <w:ind w:firstLine="420" w:firstLineChars="200"/>
        <w:rPr>
          <w:rFonts w:hAnsi="Arial"/>
          <w:color w:val="auto"/>
          <w:szCs w:val="20"/>
          <w:highlight w:val="none"/>
        </w:rPr>
      </w:pPr>
      <w:r>
        <w:rPr>
          <w:rFonts w:hint="eastAsia" w:hAnsi="Arial"/>
          <w:color w:val="auto"/>
          <w:szCs w:val="20"/>
          <w:highlight w:val="none"/>
        </w:rPr>
        <w:t>1)</w:t>
      </w:r>
      <w:r>
        <w:rPr>
          <w:rFonts w:hint="eastAsia" w:hAnsi="Arial"/>
          <w:color w:val="auto"/>
          <w:szCs w:val="20"/>
          <w:highlight w:val="none"/>
        </w:rPr>
        <w:tab/>
      </w:r>
      <w:r>
        <w:rPr>
          <w:rFonts w:hint="eastAsia" w:hAnsi="Arial"/>
          <w:color w:val="auto"/>
          <w:szCs w:val="20"/>
          <w:highlight w:val="none"/>
        </w:rPr>
        <w:t>承包人发生第22.1.1第5）约定的违约情况时，发包人可通知承包人立即解除合同，并按有关法律处理。</w:t>
      </w:r>
    </w:p>
    <w:p>
      <w:pPr>
        <w:spacing w:line="360" w:lineRule="auto"/>
        <w:ind w:firstLine="420" w:firstLineChars="200"/>
        <w:rPr>
          <w:rFonts w:hAnsi="Arial"/>
          <w:color w:val="auto"/>
          <w:szCs w:val="20"/>
          <w:highlight w:val="none"/>
        </w:rPr>
      </w:pPr>
      <w:r>
        <w:rPr>
          <w:rFonts w:hint="eastAsia" w:hAnsi="Arial"/>
          <w:color w:val="auto"/>
          <w:szCs w:val="20"/>
          <w:highlight w:val="none"/>
        </w:rPr>
        <w:t>2)</w:t>
      </w:r>
      <w:r>
        <w:rPr>
          <w:rFonts w:hint="eastAsia" w:hAnsi="Arial"/>
          <w:color w:val="auto"/>
          <w:szCs w:val="20"/>
          <w:highlight w:val="none"/>
        </w:rPr>
        <w:tab/>
      </w:r>
      <w:r>
        <w:rPr>
          <w:rFonts w:hint="eastAsia" w:hAnsi="Arial"/>
          <w:color w:val="auto"/>
          <w:szCs w:val="20"/>
          <w:highlight w:val="none"/>
        </w:rPr>
        <w:t>承包人发生除第22.1.1第5）约定以外的其他违约情况时，除另有约定外，监理人可向承包人发出整改通知，要求其在指定的期限内改正。承包人应承担其违约所引起的费用增加和（或）工期延误。</w:t>
      </w:r>
    </w:p>
    <w:p>
      <w:pPr>
        <w:spacing w:line="360" w:lineRule="auto"/>
        <w:ind w:firstLine="420" w:firstLineChars="200"/>
        <w:rPr>
          <w:rFonts w:hAnsi="Arial"/>
          <w:color w:val="auto"/>
          <w:szCs w:val="20"/>
          <w:highlight w:val="none"/>
        </w:rPr>
      </w:pPr>
      <w:r>
        <w:rPr>
          <w:rFonts w:hint="eastAsia" w:hAnsi="Arial"/>
          <w:color w:val="auto"/>
          <w:szCs w:val="20"/>
          <w:highlight w:val="none"/>
        </w:rPr>
        <w:t>3)</w:t>
      </w:r>
      <w:r>
        <w:rPr>
          <w:rFonts w:hint="eastAsia" w:hAnsi="Arial"/>
          <w:color w:val="auto"/>
          <w:szCs w:val="20"/>
          <w:highlight w:val="none"/>
        </w:rPr>
        <w:tab/>
      </w:r>
      <w:r>
        <w:rPr>
          <w:rFonts w:hint="eastAsia" w:hAnsi="Arial"/>
          <w:color w:val="auto"/>
          <w:szCs w:val="20"/>
          <w:highlight w:val="none"/>
        </w:rPr>
        <w:t>监理人要求承包人停工整改的,经检查证明承包人已采取了有效措施纠正违约行为，具备复工条件的，可由监理人在取得发包人同意的情况下向发包人签发复工通知复工。</w:t>
      </w:r>
    </w:p>
    <w:p>
      <w:pPr>
        <w:spacing w:line="360" w:lineRule="auto"/>
        <w:ind w:firstLine="422" w:firstLineChars="200"/>
        <w:rPr>
          <w:rFonts w:hAnsi="Arial"/>
          <w:b/>
          <w:bCs/>
          <w:color w:val="auto"/>
          <w:szCs w:val="20"/>
          <w:highlight w:val="none"/>
        </w:rPr>
      </w:pPr>
      <w:r>
        <w:rPr>
          <w:rFonts w:hint="eastAsia" w:hAnsi="Arial"/>
          <w:b/>
          <w:bCs/>
          <w:color w:val="auto"/>
          <w:szCs w:val="20"/>
          <w:highlight w:val="none"/>
        </w:rPr>
        <w:t>22</w:t>
      </w:r>
      <w:r>
        <w:rPr>
          <w:rFonts w:hint="eastAsia" w:hAnsi="Arial"/>
          <w:color w:val="auto"/>
          <w:szCs w:val="20"/>
          <w:highlight w:val="none"/>
        </w:rPr>
        <w:t>.</w:t>
      </w:r>
      <w:r>
        <w:rPr>
          <w:rFonts w:hint="eastAsia" w:hAnsi="Arial"/>
          <w:b/>
          <w:bCs/>
          <w:color w:val="auto"/>
          <w:szCs w:val="20"/>
          <w:highlight w:val="none"/>
        </w:rPr>
        <w:t>1.1</w:t>
      </w:r>
      <w:r>
        <w:rPr>
          <w:rFonts w:hAnsi="Arial"/>
          <w:b/>
          <w:bCs/>
          <w:color w:val="auto"/>
          <w:szCs w:val="20"/>
          <w:highlight w:val="none"/>
        </w:rPr>
        <w:t>0</w:t>
      </w:r>
      <w:r>
        <w:rPr>
          <w:rFonts w:hint="eastAsia"/>
          <w:color w:val="auto"/>
          <w:highlight w:val="none"/>
        </w:rPr>
        <w:t xml:space="preserve"> </w:t>
      </w:r>
      <w:r>
        <w:rPr>
          <w:rFonts w:hint="eastAsia" w:hAnsi="Arial"/>
          <w:b/>
          <w:bCs/>
          <w:color w:val="auto"/>
          <w:szCs w:val="20"/>
          <w:highlight w:val="none"/>
        </w:rPr>
        <w:t>承包人其它违约情况及处理方式：</w:t>
      </w:r>
    </w:p>
    <w:p>
      <w:pPr>
        <w:spacing w:line="360" w:lineRule="auto"/>
        <w:ind w:firstLine="420" w:firstLineChars="200"/>
        <w:rPr>
          <w:rFonts w:hAnsi="Arial"/>
          <w:color w:val="auto"/>
          <w:szCs w:val="20"/>
          <w:highlight w:val="none"/>
        </w:rPr>
      </w:pPr>
      <w:r>
        <w:rPr>
          <w:rFonts w:hint="eastAsia" w:hAnsi="Arial"/>
          <w:color w:val="auto"/>
          <w:szCs w:val="20"/>
          <w:highlight w:val="none"/>
        </w:rPr>
        <w:t xml:space="preserve">（1）承包人必须严格按照经发包人和（或）监理单位审定的施工组织进度计划（不含竣工日期）施工，若承包人未按进度计划完成施工并达到本合同约定条件的，则每项每拖延一天，承包人应向发包人支付违约金人民币1万元。承包人未按照本合同约定的竣工日期竣工、未在本合同规定的工期内或经发包人同意延期的工期内按时完成本工程的，每延误一天，应向发包人承担人民币2万元违约金，逾期超过30天的，发包人有权解除本合同。 </w:t>
      </w:r>
    </w:p>
    <w:p>
      <w:pPr>
        <w:spacing w:line="360" w:lineRule="auto"/>
        <w:ind w:firstLine="420" w:firstLineChars="200"/>
        <w:rPr>
          <w:rFonts w:hAnsi="Arial"/>
          <w:color w:val="auto"/>
          <w:szCs w:val="20"/>
          <w:highlight w:val="none"/>
        </w:rPr>
      </w:pPr>
      <w:r>
        <w:rPr>
          <w:rFonts w:hint="eastAsia" w:hAnsi="Arial"/>
          <w:color w:val="auto"/>
          <w:szCs w:val="20"/>
          <w:highlight w:val="none"/>
        </w:rPr>
        <w:t>（</w:t>
      </w:r>
      <w:r>
        <w:rPr>
          <w:rFonts w:hAnsi="Arial"/>
          <w:color w:val="auto"/>
          <w:szCs w:val="20"/>
          <w:highlight w:val="none"/>
        </w:rPr>
        <w:t>2</w:t>
      </w:r>
      <w:r>
        <w:rPr>
          <w:rFonts w:hint="eastAsia" w:hAnsi="Arial"/>
          <w:color w:val="auto"/>
          <w:szCs w:val="20"/>
          <w:highlight w:val="none"/>
        </w:rPr>
        <w:t>）工程竣工验收并达到合同验收要求应交付工程时，承包人不得因与发包人或任何第三方的经济纠纷或其它争议而拒绝交付工程或继续占据工地，或因承包人的原因导致第三方占用工地而致工程迟延交付的，承包人应按每日</w:t>
      </w:r>
      <w:r>
        <w:rPr>
          <w:rFonts w:hint="eastAsia" w:hAnsi="Arial"/>
          <w:b/>
          <w:bCs/>
          <w:color w:val="auto"/>
          <w:szCs w:val="20"/>
          <w:highlight w:val="none"/>
        </w:rPr>
        <w:t>1</w:t>
      </w:r>
      <w:r>
        <w:rPr>
          <w:rFonts w:hint="eastAsia" w:hAnsi="Arial"/>
          <w:color w:val="auto"/>
          <w:szCs w:val="20"/>
          <w:highlight w:val="none"/>
        </w:rPr>
        <w:t>万元向发包人支付违约金，并须赔偿发包人的全部经济损失，包括但不限于发包人可得利益损失及所有投资利息及相关费用损失。</w:t>
      </w:r>
    </w:p>
    <w:p>
      <w:pPr>
        <w:spacing w:line="360" w:lineRule="auto"/>
        <w:ind w:firstLine="420" w:firstLineChars="200"/>
        <w:rPr>
          <w:rFonts w:hAnsi="Arial"/>
          <w:color w:val="auto"/>
          <w:szCs w:val="20"/>
          <w:highlight w:val="none"/>
        </w:rPr>
      </w:pPr>
      <w:r>
        <w:rPr>
          <w:rFonts w:hint="eastAsia" w:hAnsi="Arial"/>
          <w:color w:val="auto"/>
          <w:szCs w:val="20"/>
          <w:highlight w:val="none"/>
        </w:rPr>
        <w:t>（</w:t>
      </w:r>
      <w:r>
        <w:rPr>
          <w:rFonts w:hAnsi="Arial"/>
          <w:color w:val="auto"/>
          <w:szCs w:val="20"/>
          <w:highlight w:val="none"/>
        </w:rPr>
        <w:t>3</w:t>
      </w:r>
      <w:r>
        <w:rPr>
          <w:rFonts w:hint="eastAsia" w:hAnsi="Arial"/>
          <w:color w:val="auto"/>
          <w:szCs w:val="20"/>
          <w:highlight w:val="none"/>
        </w:rPr>
        <w:t>）承包人的施工质量未能达到本合同约定的质量标准，承包人应根据发包人和监理单位的要求拆除和重新施工，直到符合合同约定的标准。因承包人原因未达到合同约定标准，承包人应承担拆除和重新施工的费用，工期不予顺延。如因此造成无法按时完工的，承包人须按本合同</w:t>
      </w:r>
      <w:r>
        <w:rPr>
          <w:rFonts w:hint="eastAsia" w:hAnsi="Arial"/>
          <w:b/>
          <w:bCs/>
          <w:color w:val="auto"/>
          <w:szCs w:val="20"/>
          <w:highlight w:val="none"/>
        </w:rPr>
        <w:t>22.1.1</w:t>
      </w:r>
      <w:r>
        <w:rPr>
          <w:rFonts w:hint="eastAsia" w:hAnsi="Arial"/>
          <w:color w:val="auto"/>
          <w:szCs w:val="20"/>
          <w:highlight w:val="none"/>
        </w:rPr>
        <w:t>款约定承担逾期完工责任。</w:t>
      </w:r>
    </w:p>
    <w:p>
      <w:pPr>
        <w:spacing w:line="360" w:lineRule="auto"/>
        <w:ind w:firstLine="422" w:firstLineChars="200"/>
        <w:rPr>
          <w:rFonts w:hAnsi="Arial"/>
          <w:color w:val="auto"/>
          <w:szCs w:val="20"/>
          <w:highlight w:val="none"/>
        </w:rPr>
      </w:pPr>
      <w:r>
        <w:rPr>
          <w:rFonts w:hint="eastAsia" w:hAnsi="Arial"/>
          <w:b/>
          <w:bCs/>
          <w:color w:val="auto"/>
          <w:szCs w:val="20"/>
          <w:highlight w:val="none"/>
        </w:rPr>
        <w:t>（</w:t>
      </w:r>
      <w:r>
        <w:rPr>
          <w:rFonts w:hAnsi="Arial"/>
          <w:b/>
          <w:bCs/>
          <w:color w:val="auto"/>
          <w:szCs w:val="20"/>
          <w:highlight w:val="none"/>
        </w:rPr>
        <w:t>4</w:t>
      </w:r>
      <w:r>
        <w:rPr>
          <w:rFonts w:hint="eastAsia" w:hAnsi="Arial"/>
          <w:b/>
          <w:bCs/>
          <w:color w:val="auto"/>
          <w:szCs w:val="20"/>
          <w:highlight w:val="none"/>
        </w:rPr>
        <w:t>）</w:t>
      </w:r>
      <w:r>
        <w:rPr>
          <w:rFonts w:hint="eastAsia" w:hAnsi="Arial"/>
          <w:color w:val="auto"/>
          <w:szCs w:val="20"/>
          <w:highlight w:val="none"/>
        </w:rPr>
        <w:t>工程保修期内发现重大质量问题，承包人必须在规定的期限返工以达到合同约定的质量标准（费用已含在合同价款内），并按该不符合本合同要求项目所属分项工程造价的20%向发包人支付违约金，赔偿发包人由此造成的一切损失；承包人未按约定返工或返工后仍不符合合同约定质量标准的，经发包人有权另行委托他人代为维修，由此增加的费用由承包人承担。</w:t>
      </w:r>
    </w:p>
    <w:p>
      <w:pPr>
        <w:spacing w:line="360" w:lineRule="auto"/>
        <w:ind w:firstLine="420" w:firstLineChars="200"/>
        <w:rPr>
          <w:rFonts w:hAnsi="Arial"/>
          <w:color w:val="auto"/>
          <w:szCs w:val="20"/>
          <w:highlight w:val="none"/>
        </w:rPr>
      </w:pPr>
      <w:r>
        <w:rPr>
          <w:rFonts w:hint="eastAsia" w:hAnsi="Arial"/>
          <w:color w:val="auto"/>
          <w:szCs w:val="20"/>
          <w:highlight w:val="none"/>
        </w:rPr>
        <w:t>（</w:t>
      </w:r>
      <w:r>
        <w:rPr>
          <w:rFonts w:hAnsi="Arial"/>
          <w:color w:val="auto"/>
          <w:szCs w:val="20"/>
          <w:highlight w:val="none"/>
        </w:rPr>
        <w:t>5</w:t>
      </w:r>
      <w:r>
        <w:rPr>
          <w:rFonts w:hint="eastAsia" w:hAnsi="Arial"/>
          <w:color w:val="auto"/>
          <w:szCs w:val="20"/>
          <w:highlight w:val="none"/>
        </w:rPr>
        <w:t>）经发包人或监理单位检查，发现承包人的材料、设备不符合本合同要求的，承包人除必须全部退货、返工，并赔偿由此造成的损失外，应按照该批次材料、设备价值的20%向承包人支付违约金。</w:t>
      </w:r>
    </w:p>
    <w:p>
      <w:pPr>
        <w:spacing w:line="360" w:lineRule="auto"/>
        <w:ind w:firstLine="420" w:firstLineChars="200"/>
        <w:rPr>
          <w:rFonts w:hAnsi="Arial"/>
          <w:color w:val="auto"/>
          <w:szCs w:val="20"/>
          <w:highlight w:val="none"/>
        </w:rPr>
      </w:pPr>
      <w:r>
        <w:rPr>
          <w:rFonts w:hint="eastAsia" w:hAnsi="Arial"/>
          <w:color w:val="auto"/>
          <w:szCs w:val="20"/>
          <w:highlight w:val="none"/>
        </w:rPr>
        <w:t>（</w:t>
      </w:r>
      <w:r>
        <w:rPr>
          <w:rFonts w:hAnsi="Arial"/>
          <w:color w:val="auto"/>
          <w:szCs w:val="20"/>
          <w:highlight w:val="none"/>
        </w:rPr>
        <w:t>6</w:t>
      </w:r>
      <w:r>
        <w:rPr>
          <w:rFonts w:hint="eastAsia" w:hAnsi="Arial"/>
          <w:color w:val="auto"/>
          <w:szCs w:val="20"/>
          <w:highlight w:val="none"/>
        </w:rPr>
        <w:t>）承包人因自身原因（包括但不限于其本身或其分包人）造成重大安全事故的，每次应向承包人支付人民币10万元以上的违约金，并赔偿由此给发包人造成的其他损失。</w:t>
      </w:r>
    </w:p>
    <w:p>
      <w:pPr>
        <w:spacing w:line="360" w:lineRule="auto"/>
        <w:ind w:firstLine="422" w:firstLineChars="200"/>
        <w:rPr>
          <w:rFonts w:hAnsi="Arial"/>
          <w:color w:val="auto"/>
          <w:szCs w:val="20"/>
          <w:highlight w:val="none"/>
        </w:rPr>
      </w:pPr>
      <w:r>
        <w:rPr>
          <w:rFonts w:hint="eastAsia" w:hAnsi="Arial"/>
          <w:b/>
          <w:bCs/>
          <w:color w:val="auto"/>
          <w:szCs w:val="20"/>
          <w:highlight w:val="none"/>
        </w:rPr>
        <w:t>（7）</w:t>
      </w:r>
      <w:r>
        <w:rPr>
          <w:rFonts w:hint="eastAsia" w:hAnsi="Arial"/>
          <w:color w:val="auto"/>
          <w:szCs w:val="20"/>
          <w:highlight w:val="none"/>
        </w:rPr>
        <w:t>承包人在施工过程中因其自身原因造成周围环境卫生状况较差或噪音污染严重被其他单位或市民投诉或被有关部门整改、处罚的，承包人必须在当天内整改。若故意拖延或同样问题累计被投诉3次以上的，承包人须向发包人支付人民币2万元的违约金。</w:t>
      </w:r>
    </w:p>
    <w:p>
      <w:pPr>
        <w:spacing w:line="360" w:lineRule="auto"/>
        <w:ind w:firstLine="422" w:firstLineChars="200"/>
        <w:rPr>
          <w:rFonts w:hAnsi="Arial"/>
          <w:color w:val="auto"/>
          <w:szCs w:val="20"/>
          <w:highlight w:val="none"/>
        </w:rPr>
      </w:pPr>
      <w:r>
        <w:rPr>
          <w:rFonts w:hint="eastAsia" w:hAnsi="Arial"/>
          <w:b/>
          <w:bCs/>
          <w:color w:val="auto"/>
          <w:szCs w:val="20"/>
          <w:highlight w:val="none"/>
        </w:rPr>
        <w:t>（8）</w:t>
      </w:r>
      <w:r>
        <w:rPr>
          <w:rFonts w:hint="eastAsia" w:hAnsi="Arial"/>
          <w:color w:val="auto"/>
          <w:szCs w:val="20"/>
          <w:highlight w:val="none"/>
        </w:rPr>
        <w:t>承包人无正当理由不执行发包人或监理单位的指令的，每次应向发包人支付人民币5000元的违约金，并承担由此引起的一切后果。承包人拒不在限期内改正的，应向发包人支付人民币1万元的违约金，直至发包人解除合同。</w:t>
      </w:r>
    </w:p>
    <w:p>
      <w:pPr>
        <w:spacing w:line="360" w:lineRule="auto"/>
        <w:ind w:firstLine="422" w:firstLineChars="200"/>
        <w:rPr>
          <w:rFonts w:hAnsi="Arial"/>
          <w:color w:val="auto"/>
          <w:szCs w:val="20"/>
          <w:highlight w:val="none"/>
        </w:rPr>
      </w:pPr>
      <w:r>
        <w:rPr>
          <w:rFonts w:hint="eastAsia" w:hAnsi="Arial"/>
          <w:b/>
          <w:bCs/>
          <w:color w:val="auto"/>
          <w:szCs w:val="20"/>
          <w:highlight w:val="none"/>
        </w:rPr>
        <w:t>（9）</w:t>
      </w:r>
      <w:r>
        <w:rPr>
          <w:rFonts w:hint="eastAsia" w:hAnsi="Arial"/>
          <w:color w:val="auto"/>
          <w:szCs w:val="20"/>
          <w:highlight w:val="none"/>
        </w:rPr>
        <w:t>承包人未按合同规定的时间履行其他义务的，应当按发包人要求在限期内改正，发包人可以相应延迟支付工程款。</w:t>
      </w:r>
    </w:p>
    <w:p>
      <w:pPr>
        <w:spacing w:line="360" w:lineRule="auto"/>
        <w:ind w:firstLine="422" w:firstLineChars="200"/>
        <w:rPr>
          <w:rFonts w:hAnsi="Arial"/>
          <w:color w:val="auto"/>
          <w:szCs w:val="20"/>
          <w:highlight w:val="none"/>
        </w:rPr>
      </w:pPr>
      <w:r>
        <w:rPr>
          <w:rFonts w:hint="eastAsia" w:hAnsi="Arial"/>
          <w:b/>
          <w:bCs/>
          <w:color w:val="auto"/>
          <w:szCs w:val="20"/>
          <w:highlight w:val="none"/>
        </w:rPr>
        <w:t>（1</w:t>
      </w:r>
      <w:r>
        <w:rPr>
          <w:rFonts w:hAnsi="Arial"/>
          <w:b/>
          <w:bCs/>
          <w:color w:val="auto"/>
          <w:szCs w:val="20"/>
          <w:highlight w:val="none"/>
        </w:rPr>
        <w:t>0</w:t>
      </w:r>
      <w:r>
        <w:rPr>
          <w:rFonts w:hint="eastAsia" w:hAnsi="Arial"/>
          <w:b/>
          <w:bCs/>
          <w:color w:val="auto"/>
          <w:szCs w:val="20"/>
          <w:highlight w:val="none"/>
        </w:rPr>
        <w:t>）</w:t>
      </w:r>
      <w:r>
        <w:rPr>
          <w:rFonts w:hint="eastAsia" w:hAnsi="Arial"/>
          <w:color w:val="auto"/>
          <w:szCs w:val="20"/>
          <w:highlight w:val="none"/>
        </w:rPr>
        <w:t>承包人其他行为违反本合同义务的也均构成违约，均应当承担相应的违约责任，并赔偿发包人的实际损失。</w:t>
      </w:r>
    </w:p>
    <w:p>
      <w:pPr>
        <w:pStyle w:val="15"/>
        <w:spacing w:line="360" w:lineRule="auto"/>
        <w:rPr>
          <w:color w:val="auto"/>
          <w:highlight w:val="none"/>
        </w:rPr>
      </w:pPr>
      <w:r>
        <w:rPr>
          <w:rFonts w:hint="eastAsia"/>
          <w:color w:val="auto"/>
          <w:highlight w:val="none"/>
        </w:rPr>
        <w:t>（1</w:t>
      </w:r>
      <w:r>
        <w:rPr>
          <w:color w:val="auto"/>
          <w:highlight w:val="none"/>
        </w:rPr>
        <w:t>1</w:t>
      </w:r>
      <w:r>
        <w:rPr>
          <w:rFonts w:hint="eastAsia"/>
          <w:color w:val="auto"/>
          <w:highlight w:val="none"/>
        </w:rPr>
        <w:t>）承包人人员管理方面违约：</w:t>
      </w:r>
    </w:p>
    <w:p>
      <w:pPr>
        <w:pStyle w:val="15"/>
        <w:spacing w:line="360" w:lineRule="auto"/>
        <w:rPr>
          <w:color w:val="auto"/>
          <w:highlight w:val="none"/>
        </w:rPr>
      </w:pPr>
      <w:r>
        <w:rPr>
          <w:rFonts w:hint="eastAsia"/>
          <w:color w:val="auto"/>
          <w:highlight w:val="none"/>
        </w:rPr>
        <w:t>1）承包人的所有管理人员均应向发包人提供不少于一年在承包人公司的社保证明，承包人未能提供社保证明须向发包人支付每人每天1000元违约金，直到提供社保证明为止或另派管理人员。</w:t>
      </w:r>
    </w:p>
    <w:p>
      <w:pPr>
        <w:pStyle w:val="15"/>
        <w:spacing w:line="360" w:lineRule="auto"/>
        <w:rPr>
          <w:color w:val="auto"/>
          <w:highlight w:val="none"/>
        </w:rPr>
      </w:pPr>
      <w:r>
        <w:rPr>
          <w:rFonts w:hint="eastAsia"/>
          <w:color w:val="auto"/>
          <w:highlight w:val="none"/>
        </w:rPr>
        <w:t>2）承包人项目管理部主要管理人员须常驻现场：项目经理、项目技术负责人、项目生产经理、质量总监、安全负责人（安全总监）、专职安全员每月在现场工作时间不得少于26天、每天工作时间不得少于8小时；项目管理人员离开工地需经发包人及监理人同意；若无正当理由且未经发包人及监理人同意不在工地的或出勤不满足以上要求的，发包人有权视情况按每天每人向承包人收取违约金（项目经理3万元/天，技术负责人、安全负责人2万元/天，其他主要管理人员1.5万元/天），发包人有权将违约金在当期进度款中直接扣减；若承包人主要管理人员无故连续3天不在工地，又无发包人可以接受的理由，则发包人有权要求承包人将其更换。</w:t>
      </w:r>
    </w:p>
    <w:p>
      <w:pPr>
        <w:pStyle w:val="15"/>
        <w:spacing w:line="360" w:lineRule="auto"/>
        <w:rPr>
          <w:color w:val="auto"/>
          <w:highlight w:val="none"/>
        </w:rPr>
      </w:pPr>
      <w:r>
        <w:rPr>
          <w:rFonts w:hint="eastAsia"/>
          <w:color w:val="auto"/>
          <w:highlight w:val="none"/>
        </w:rPr>
        <w:t>3）如承包人未按合同约定（当投标文件中人员配备高于招标文件要求时以投标文件人员配备为准，当投标文件中人员配备低于招标文件要求时以招标文件中人员配备要求为准）投入主要管理人员，承包人应按2万/人标准向发包人支付违约金，承包人须在3天内补充或更换至满足本协议要求，否则承包人应按1万元/人/天标准向发包人支付违约金。</w:t>
      </w:r>
    </w:p>
    <w:p>
      <w:pPr>
        <w:pStyle w:val="15"/>
        <w:spacing w:line="360" w:lineRule="auto"/>
        <w:rPr>
          <w:color w:val="auto"/>
          <w:highlight w:val="none"/>
        </w:rPr>
      </w:pPr>
      <w:r>
        <w:rPr>
          <w:rFonts w:hint="eastAsia"/>
          <w:color w:val="auto"/>
          <w:highlight w:val="none"/>
        </w:rPr>
        <w:t>4）如出现承包人工程施工期间无主要管理人员在岗的，一经发现，承包人应按3万/次标准向发包人支付违约金。</w:t>
      </w:r>
    </w:p>
    <w:p>
      <w:pPr>
        <w:pStyle w:val="15"/>
        <w:spacing w:line="360" w:lineRule="auto"/>
        <w:rPr>
          <w:color w:val="auto"/>
          <w:highlight w:val="none"/>
        </w:rPr>
      </w:pPr>
      <w:r>
        <w:rPr>
          <w:rFonts w:hint="eastAsia"/>
          <w:color w:val="auto"/>
          <w:highlight w:val="none"/>
        </w:rPr>
        <w:t>5）关于更换项目管理人员的约定：</w:t>
      </w:r>
    </w:p>
    <w:p>
      <w:pPr>
        <w:pStyle w:val="15"/>
        <w:spacing w:line="360" w:lineRule="auto"/>
        <w:rPr>
          <w:color w:val="auto"/>
          <w:highlight w:val="none"/>
        </w:rPr>
      </w:pPr>
      <w:r>
        <w:rPr>
          <w:rFonts w:hint="eastAsia"/>
          <w:color w:val="auto"/>
          <w:highlight w:val="none"/>
        </w:rPr>
        <w:t>①经发包人和监理单位审核明确的项目管理人员，承包人不得擅自变更主要管理人员。否则承包人应向发包人支付的违约金，具体约定金额为：</w:t>
      </w:r>
    </w:p>
    <w:p>
      <w:pPr>
        <w:pStyle w:val="15"/>
        <w:spacing w:line="360" w:lineRule="auto"/>
        <w:rPr>
          <w:color w:val="auto"/>
          <w:highlight w:val="none"/>
        </w:rPr>
      </w:pPr>
      <w:r>
        <w:rPr>
          <w:rFonts w:hint="eastAsia"/>
          <w:color w:val="auto"/>
          <w:highlight w:val="none"/>
        </w:rPr>
        <w:t>岗位人员</w:t>
      </w:r>
      <w:r>
        <w:rPr>
          <w:rFonts w:hint="eastAsia"/>
          <w:color w:val="auto"/>
          <w:highlight w:val="none"/>
        </w:rPr>
        <w:tab/>
      </w:r>
      <w:r>
        <w:rPr>
          <w:rFonts w:hint="eastAsia"/>
          <w:color w:val="auto"/>
          <w:highlight w:val="none"/>
        </w:rPr>
        <w:t>项目经理</w:t>
      </w:r>
      <w:r>
        <w:rPr>
          <w:rFonts w:hint="eastAsia"/>
          <w:color w:val="auto"/>
          <w:highlight w:val="none"/>
        </w:rPr>
        <w:tab/>
      </w:r>
      <w:r>
        <w:rPr>
          <w:rFonts w:hint="eastAsia"/>
          <w:color w:val="auto"/>
          <w:highlight w:val="none"/>
        </w:rPr>
        <w:t>项目技术负责人</w:t>
      </w:r>
      <w:r>
        <w:rPr>
          <w:rFonts w:hint="eastAsia"/>
          <w:color w:val="auto"/>
          <w:highlight w:val="none"/>
        </w:rPr>
        <w:tab/>
      </w:r>
      <w:r>
        <w:rPr>
          <w:rFonts w:hint="eastAsia"/>
          <w:color w:val="auto"/>
          <w:highlight w:val="none"/>
        </w:rPr>
        <w:t>项目生产经理</w:t>
      </w:r>
      <w:r>
        <w:rPr>
          <w:rFonts w:hint="eastAsia"/>
          <w:color w:val="auto"/>
          <w:highlight w:val="none"/>
        </w:rPr>
        <w:tab/>
      </w:r>
      <w:r>
        <w:rPr>
          <w:rFonts w:hint="eastAsia"/>
          <w:color w:val="auto"/>
          <w:highlight w:val="none"/>
        </w:rPr>
        <w:t>主办施工员</w:t>
      </w:r>
      <w:r>
        <w:rPr>
          <w:rFonts w:hint="eastAsia"/>
          <w:color w:val="auto"/>
          <w:highlight w:val="none"/>
        </w:rPr>
        <w:tab/>
      </w:r>
      <w:r>
        <w:rPr>
          <w:rFonts w:hint="eastAsia"/>
          <w:color w:val="auto"/>
          <w:highlight w:val="none"/>
        </w:rPr>
        <w:t>主办预算员</w:t>
      </w:r>
      <w:r>
        <w:rPr>
          <w:rFonts w:hint="eastAsia"/>
          <w:color w:val="auto"/>
          <w:highlight w:val="none"/>
        </w:rPr>
        <w:tab/>
      </w:r>
      <w:r>
        <w:rPr>
          <w:rFonts w:hint="eastAsia"/>
          <w:color w:val="auto"/>
          <w:highlight w:val="none"/>
        </w:rPr>
        <w:t>安全负责人（安全总监）</w:t>
      </w:r>
    </w:p>
    <w:p>
      <w:pPr>
        <w:pStyle w:val="15"/>
        <w:spacing w:line="360" w:lineRule="auto"/>
        <w:rPr>
          <w:color w:val="auto"/>
          <w:highlight w:val="none"/>
        </w:rPr>
      </w:pPr>
      <w:r>
        <w:rPr>
          <w:rFonts w:hint="eastAsia"/>
          <w:color w:val="auto"/>
          <w:highlight w:val="none"/>
        </w:rPr>
        <w:t>违约金额（元）</w:t>
      </w:r>
      <w:r>
        <w:rPr>
          <w:rFonts w:hint="eastAsia"/>
          <w:color w:val="auto"/>
          <w:highlight w:val="none"/>
        </w:rPr>
        <w:tab/>
      </w:r>
    </w:p>
    <w:tbl>
      <w:tblPr>
        <w:tblStyle w:val="4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54"/>
        <w:gridCol w:w="1254"/>
        <w:gridCol w:w="1156"/>
        <w:gridCol w:w="1559"/>
        <w:gridCol w:w="1293"/>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pPr>
              <w:jc w:val="left"/>
              <w:rPr>
                <w:rFonts w:ascii="Calibri" w:hAnsi="Calibri" w:eastAsia="仿宋_GB2312"/>
                <w:color w:val="auto"/>
                <w:kern w:val="0"/>
                <w:szCs w:val="32"/>
                <w:highlight w:val="none"/>
              </w:rPr>
            </w:pPr>
            <w:r>
              <w:rPr>
                <w:rFonts w:ascii="Calibri" w:hAnsi="Calibri" w:eastAsia="仿宋_GB2312"/>
                <w:color w:val="auto"/>
                <w:kern w:val="0"/>
                <w:szCs w:val="32"/>
                <w:highlight w:val="none"/>
              </w:rPr>
              <w:t>岗位人员</w:t>
            </w:r>
          </w:p>
        </w:tc>
        <w:tc>
          <w:tcPr>
            <w:tcW w:w="1254" w:type="dxa"/>
            <w:vAlign w:val="center"/>
          </w:tcPr>
          <w:p>
            <w:pPr>
              <w:jc w:val="center"/>
              <w:rPr>
                <w:rFonts w:ascii="Calibri" w:hAnsi="Calibri" w:eastAsia="仿宋_GB2312"/>
                <w:color w:val="auto"/>
                <w:kern w:val="0"/>
                <w:szCs w:val="32"/>
                <w:highlight w:val="none"/>
              </w:rPr>
            </w:pPr>
            <w:r>
              <w:rPr>
                <w:rFonts w:ascii="Calibri" w:hAnsi="Calibri" w:eastAsia="仿宋_GB2312"/>
                <w:color w:val="auto"/>
                <w:kern w:val="0"/>
                <w:szCs w:val="32"/>
                <w:highlight w:val="none"/>
              </w:rPr>
              <w:t>项目经理</w:t>
            </w:r>
          </w:p>
        </w:tc>
        <w:tc>
          <w:tcPr>
            <w:tcW w:w="1254" w:type="dxa"/>
            <w:vAlign w:val="center"/>
          </w:tcPr>
          <w:p>
            <w:pPr>
              <w:jc w:val="center"/>
              <w:rPr>
                <w:rFonts w:ascii="Calibri" w:hAnsi="Calibri" w:eastAsia="仿宋_GB2312"/>
                <w:color w:val="auto"/>
                <w:kern w:val="0"/>
                <w:szCs w:val="32"/>
                <w:highlight w:val="none"/>
              </w:rPr>
            </w:pPr>
            <w:r>
              <w:rPr>
                <w:rFonts w:ascii="Calibri" w:hAnsi="Calibri" w:eastAsia="仿宋_GB2312"/>
                <w:color w:val="auto"/>
                <w:kern w:val="0"/>
                <w:szCs w:val="32"/>
                <w:highlight w:val="none"/>
              </w:rPr>
              <w:t>项目技术负责人</w:t>
            </w:r>
          </w:p>
        </w:tc>
        <w:tc>
          <w:tcPr>
            <w:tcW w:w="1156" w:type="dxa"/>
            <w:vAlign w:val="center"/>
          </w:tcPr>
          <w:p>
            <w:pPr>
              <w:jc w:val="center"/>
              <w:rPr>
                <w:rFonts w:ascii="Calibri" w:hAnsi="Calibri" w:eastAsia="仿宋_GB2312"/>
                <w:color w:val="auto"/>
                <w:kern w:val="0"/>
                <w:szCs w:val="32"/>
                <w:highlight w:val="none"/>
              </w:rPr>
            </w:pPr>
            <w:r>
              <w:rPr>
                <w:rFonts w:ascii="Calibri" w:hAnsi="Calibri" w:eastAsia="仿宋_GB2312"/>
                <w:color w:val="auto"/>
                <w:kern w:val="0"/>
                <w:szCs w:val="32"/>
                <w:highlight w:val="none"/>
              </w:rPr>
              <w:t>项目生产经理</w:t>
            </w:r>
          </w:p>
        </w:tc>
        <w:tc>
          <w:tcPr>
            <w:tcW w:w="1559" w:type="dxa"/>
            <w:vAlign w:val="center"/>
          </w:tcPr>
          <w:p>
            <w:pPr>
              <w:jc w:val="center"/>
              <w:rPr>
                <w:rFonts w:ascii="Calibri" w:hAnsi="Calibri" w:eastAsia="仿宋_GB2312"/>
                <w:color w:val="auto"/>
                <w:kern w:val="0"/>
                <w:szCs w:val="32"/>
                <w:highlight w:val="none"/>
              </w:rPr>
            </w:pPr>
            <w:r>
              <w:rPr>
                <w:rFonts w:ascii="Calibri" w:hAnsi="Calibri" w:eastAsia="仿宋_GB2312"/>
                <w:color w:val="auto"/>
                <w:kern w:val="0"/>
                <w:szCs w:val="32"/>
                <w:highlight w:val="none"/>
              </w:rPr>
              <w:t>主办施工员</w:t>
            </w:r>
          </w:p>
        </w:tc>
        <w:tc>
          <w:tcPr>
            <w:tcW w:w="1293" w:type="dxa"/>
            <w:vAlign w:val="center"/>
          </w:tcPr>
          <w:p>
            <w:pPr>
              <w:jc w:val="center"/>
              <w:rPr>
                <w:rFonts w:ascii="Calibri" w:hAnsi="Calibri" w:eastAsia="仿宋_GB2312"/>
                <w:color w:val="auto"/>
                <w:kern w:val="0"/>
                <w:szCs w:val="32"/>
                <w:highlight w:val="none"/>
              </w:rPr>
            </w:pPr>
            <w:r>
              <w:rPr>
                <w:rFonts w:ascii="Calibri" w:hAnsi="Calibri" w:eastAsia="仿宋_GB2312"/>
                <w:color w:val="auto"/>
                <w:kern w:val="0"/>
                <w:szCs w:val="32"/>
                <w:highlight w:val="none"/>
              </w:rPr>
              <w:t>主办预算员</w:t>
            </w:r>
          </w:p>
        </w:tc>
        <w:tc>
          <w:tcPr>
            <w:tcW w:w="1258" w:type="dxa"/>
            <w:vAlign w:val="center"/>
          </w:tcPr>
          <w:p>
            <w:pPr>
              <w:jc w:val="center"/>
              <w:rPr>
                <w:rFonts w:ascii="Calibri" w:hAnsi="Calibri"/>
                <w:color w:val="auto"/>
                <w:kern w:val="0"/>
                <w:szCs w:val="32"/>
                <w:highlight w:val="none"/>
              </w:rPr>
            </w:pPr>
            <w:r>
              <w:rPr>
                <w:rFonts w:hint="eastAsia"/>
                <w:color w:val="auto"/>
                <w:szCs w:val="21"/>
                <w:highlight w:val="none"/>
              </w:rPr>
              <w:t>安全负责人（</w:t>
            </w:r>
            <w:r>
              <w:rPr>
                <w:rFonts w:hint="eastAsia" w:ascii="Calibri" w:hAnsi="Calibri" w:eastAsia="仿宋_GB2312"/>
                <w:color w:val="auto"/>
                <w:kern w:val="0"/>
                <w:szCs w:val="32"/>
                <w:highlight w:val="none"/>
              </w:rPr>
              <w:t>安全总监）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69" w:type="dxa"/>
            <w:vAlign w:val="center"/>
          </w:tcPr>
          <w:p>
            <w:pPr>
              <w:ind w:left="105" w:hanging="105" w:hangingChars="50"/>
              <w:jc w:val="left"/>
              <w:rPr>
                <w:rFonts w:ascii="Calibri" w:hAnsi="Calibri" w:eastAsia="仿宋_GB2312"/>
                <w:color w:val="auto"/>
                <w:kern w:val="0"/>
                <w:szCs w:val="32"/>
                <w:highlight w:val="none"/>
              </w:rPr>
            </w:pPr>
            <w:r>
              <w:rPr>
                <w:rFonts w:ascii="Calibri" w:hAnsi="Calibri" w:eastAsia="仿宋_GB2312"/>
                <w:color w:val="auto"/>
                <w:kern w:val="0"/>
                <w:szCs w:val="32"/>
                <w:highlight w:val="none"/>
              </w:rPr>
              <w:t>违约金额（元）</w:t>
            </w:r>
          </w:p>
        </w:tc>
        <w:tc>
          <w:tcPr>
            <w:tcW w:w="1254" w:type="dxa"/>
            <w:vAlign w:val="center"/>
          </w:tcPr>
          <w:p>
            <w:pPr>
              <w:jc w:val="center"/>
              <w:rPr>
                <w:rFonts w:ascii="Calibri" w:hAnsi="Calibri" w:eastAsia="仿宋_GB2312"/>
                <w:color w:val="auto"/>
                <w:kern w:val="0"/>
                <w:szCs w:val="32"/>
                <w:highlight w:val="none"/>
              </w:rPr>
            </w:pPr>
          </w:p>
          <w:p>
            <w:pPr>
              <w:jc w:val="center"/>
              <w:rPr>
                <w:rFonts w:ascii="Calibri" w:hAnsi="Calibri" w:eastAsia="仿宋_GB2312"/>
                <w:color w:val="auto"/>
                <w:kern w:val="0"/>
                <w:szCs w:val="32"/>
                <w:highlight w:val="none"/>
              </w:rPr>
            </w:pPr>
            <w:r>
              <w:rPr>
                <w:rFonts w:ascii="Calibri" w:hAnsi="Calibri" w:eastAsia="仿宋_GB2312"/>
                <w:color w:val="auto"/>
                <w:kern w:val="0"/>
                <w:szCs w:val="32"/>
                <w:highlight w:val="none"/>
              </w:rPr>
              <w:t>20</w:t>
            </w:r>
            <w:r>
              <w:rPr>
                <w:rFonts w:hint="eastAsia" w:ascii="Calibri" w:hAnsi="Calibri" w:eastAsia="仿宋_GB2312"/>
                <w:color w:val="auto"/>
                <w:kern w:val="0"/>
                <w:szCs w:val="32"/>
                <w:highlight w:val="none"/>
              </w:rPr>
              <w:t>万</w:t>
            </w:r>
          </w:p>
        </w:tc>
        <w:tc>
          <w:tcPr>
            <w:tcW w:w="1254" w:type="dxa"/>
            <w:vAlign w:val="center"/>
          </w:tcPr>
          <w:p>
            <w:pPr>
              <w:jc w:val="center"/>
              <w:rPr>
                <w:rFonts w:ascii="Calibri" w:hAnsi="Calibri" w:eastAsia="仿宋_GB2312"/>
                <w:color w:val="auto"/>
                <w:kern w:val="0"/>
                <w:szCs w:val="32"/>
                <w:highlight w:val="none"/>
              </w:rPr>
            </w:pPr>
          </w:p>
          <w:p>
            <w:pPr>
              <w:jc w:val="center"/>
              <w:rPr>
                <w:rFonts w:ascii="Calibri" w:hAnsi="Calibri" w:eastAsia="仿宋_GB2312"/>
                <w:color w:val="auto"/>
                <w:kern w:val="0"/>
                <w:szCs w:val="32"/>
                <w:highlight w:val="none"/>
              </w:rPr>
            </w:pPr>
            <w:r>
              <w:rPr>
                <w:rFonts w:ascii="Calibri" w:hAnsi="Calibri" w:eastAsia="仿宋_GB2312"/>
                <w:color w:val="auto"/>
                <w:kern w:val="0"/>
                <w:szCs w:val="32"/>
                <w:highlight w:val="none"/>
              </w:rPr>
              <w:t>10</w:t>
            </w:r>
            <w:r>
              <w:rPr>
                <w:rFonts w:hint="eastAsia" w:ascii="Calibri" w:hAnsi="Calibri" w:eastAsia="仿宋_GB2312"/>
                <w:color w:val="auto"/>
                <w:kern w:val="0"/>
                <w:szCs w:val="32"/>
                <w:highlight w:val="none"/>
              </w:rPr>
              <w:t>万</w:t>
            </w:r>
          </w:p>
        </w:tc>
        <w:tc>
          <w:tcPr>
            <w:tcW w:w="1156" w:type="dxa"/>
            <w:vAlign w:val="center"/>
          </w:tcPr>
          <w:p>
            <w:pPr>
              <w:jc w:val="center"/>
              <w:rPr>
                <w:rFonts w:ascii="Calibri" w:hAnsi="Calibri" w:eastAsia="仿宋_GB2312"/>
                <w:color w:val="auto"/>
                <w:kern w:val="0"/>
                <w:szCs w:val="32"/>
                <w:highlight w:val="none"/>
              </w:rPr>
            </w:pPr>
          </w:p>
          <w:p>
            <w:pPr>
              <w:jc w:val="center"/>
              <w:rPr>
                <w:rFonts w:ascii="Calibri" w:hAnsi="Calibri" w:eastAsia="仿宋_GB2312"/>
                <w:color w:val="auto"/>
                <w:kern w:val="0"/>
                <w:szCs w:val="32"/>
                <w:highlight w:val="none"/>
              </w:rPr>
            </w:pPr>
            <w:r>
              <w:rPr>
                <w:rFonts w:ascii="Calibri" w:hAnsi="Calibri" w:eastAsia="仿宋_GB2312"/>
                <w:color w:val="auto"/>
                <w:kern w:val="0"/>
                <w:szCs w:val="32"/>
                <w:highlight w:val="none"/>
              </w:rPr>
              <w:t>10</w:t>
            </w:r>
            <w:r>
              <w:rPr>
                <w:rFonts w:hint="eastAsia" w:ascii="Calibri" w:hAnsi="Calibri" w:eastAsia="仿宋_GB2312"/>
                <w:color w:val="auto"/>
                <w:kern w:val="0"/>
                <w:szCs w:val="32"/>
                <w:highlight w:val="none"/>
              </w:rPr>
              <w:t>万</w:t>
            </w:r>
          </w:p>
        </w:tc>
        <w:tc>
          <w:tcPr>
            <w:tcW w:w="1559" w:type="dxa"/>
            <w:vAlign w:val="center"/>
          </w:tcPr>
          <w:p>
            <w:pPr>
              <w:jc w:val="center"/>
              <w:rPr>
                <w:rFonts w:ascii="Calibri" w:hAnsi="Calibri" w:eastAsia="仿宋_GB2312"/>
                <w:color w:val="auto"/>
                <w:kern w:val="0"/>
                <w:szCs w:val="32"/>
                <w:highlight w:val="none"/>
              </w:rPr>
            </w:pPr>
          </w:p>
          <w:p>
            <w:pPr>
              <w:jc w:val="center"/>
              <w:rPr>
                <w:rFonts w:ascii="Calibri" w:hAnsi="Calibri" w:eastAsia="仿宋_GB2312"/>
                <w:color w:val="auto"/>
                <w:kern w:val="0"/>
                <w:szCs w:val="32"/>
                <w:highlight w:val="none"/>
              </w:rPr>
            </w:pPr>
            <w:r>
              <w:rPr>
                <w:rFonts w:ascii="Calibri" w:hAnsi="Calibri" w:eastAsia="仿宋_GB2312"/>
                <w:color w:val="auto"/>
                <w:kern w:val="0"/>
                <w:szCs w:val="32"/>
                <w:highlight w:val="none"/>
              </w:rPr>
              <w:t>5</w:t>
            </w:r>
            <w:r>
              <w:rPr>
                <w:rFonts w:hint="eastAsia" w:ascii="Calibri" w:hAnsi="Calibri" w:eastAsia="仿宋_GB2312"/>
                <w:color w:val="auto"/>
                <w:kern w:val="0"/>
                <w:szCs w:val="32"/>
                <w:highlight w:val="none"/>
              </w:rPr>
              <w:t>万</w:t>
            </w:r>
          </w:p>
        </w:tc>
        <w:tc>
          <w:tcPr>
            <w:tcW w:w="1293" w:type="dxa"/>
            <w:vAlign w:val="center"/>
          </w:tcPr>
          <w:p>
            <w:pPr>
              <w:jc w:val="center"/>
              <w:rPr>
                <w:rFonts w:ascii="Calibri" w:hAnsi="Calibri" w:eastAsia="仿宋_GB2312"/>
                <w:color w:val="auto"/>
                <w:kern w:val="0"/>
                <w:szCs w:val="32"/>
                <w:highlight w:val="none"/>
              </w:rPr>
            </w:pPr>
          </w:p>
          <w:p>
            <w:pPr>
              <w:jc w:val="center"/>
              <w:rPr>
                <w:rFonts w:ascii="Calibri" w:hAnsi="Calibri" w:eastAsia="仿宋_GB2312"/>
                <w:color w:val="auto"/>
                <w:kern w:val="0"/>
                <w:szCs w:val="32"/>
                <w:highlight w:val="none"/>
              </w:rPr>
            </w:pPr>
            <w:r>
              <w:rPr>
                <w:rFonts w:ascii="Calibri" w:hAnsi="Calibri" w:eastAsia="仿宋_GB2312"/>
                <w:color w:val="auto"/>
                <w:kern w:val="0"/>
                <w:szCs w:val="32"/>
                <w:highlight w:val="none"/>
              </w:rPr>
              <w:t>5</w:t>
            </w:r>
            <w:r>
              <w:rPr>
                <w:rFonts w:hint="eastAsia" w:ascii="Calibri" w:hAnsi="Calibri" w:eastAsia="仿宋_GB2312"/>
                <w:color w:val="auto"/>
                <w:kern w:val="0"/>
                <w:szCs w:val="32"/>
                <w:highlight w:val="none"/>
              </w:rPr>
              <w:t>万</w:t>
            </w:r>
          </w:p>
        </w:tc>
        <w:tc>
          <w:tcPr>
            <w:tcW w:w="1258" w:type="dxa"/>
            <w:vAlign w:val="center"/>
          </w:tcPr>
          <w:p>
            <w:pPr>
              <w:jc w:val="center"/>
              <w:rPr>
                <w:rFonts w:ascii="Calibri" w:hAnsi="Calibri" w:eastAsia="仿宋_GB2312"/>
                <w:color w:val="auto"/>
                <w:kern w:val="0"/>
                <w:szCs w:val="32"/>
                <w:highlight w:val="none"/>
              </w:rPr>
            </w:pPr>
          </w:p>
          <w:p>
            <w:pPr>
              <w:jc w:val="center"/>
              <w:rPr>
                <w:rFonts w:ascii="Calibri" w:hAnsi="Calibri" w:eastAsia="仿宋_GB2312"/>
                <w:color w:val="auto"/>
                <w:kern w:val="0"/>
                <w:szCs w:val="32"/>
                <w:highlight w:val="none"/>
              </w:rPr>
            </w:pPr>
            <w:r>
              <w:rPr>
                <w:rFonts w:hint="eastAsia" w:ascii="Calibri" w:hAnsi="Calibri" w:eastAsia="仿宋_GB2312"/>
                <w:color w:val="auto"/>
                <w:kern w:val="0"/>
                <w:szCs w:val="32"/>
                <w:highlight w:val="none"/>
              </w:rPr>
              <w:t>10万</w:t>
            </w:r>
          </w:p>
        </w:tc>
      </w:tr>
    </w:tbl>
    <w:p>
      <w:pPr>
        <w:pStyle w:val="15"/>
        <w:spacing w:line="360" w:lineRule="auto"/>
        <w:rPr>
          <w:color w:val="auto"/>
          <w:highlight w:val="none"/>
        </w:rPr>
      </w:pPr>
      <w:r>
        <w:rPr>
          <w:rFonts w:hint="eastAsia"/>
          <w:color w:val="auto"/>
          <w:highlight w:val="none"/>
        </w:rPr>
        <w:t>②承包人应确保项目管理人员在合同生效后半年内不发生变更，合同期内项目管理人员变更比例不得超过30%。如承包人项目管理人员存在</w:t>
      </w:r>
      <w:r>
        <w:rPr>
          <w:rFonts w:hint="eastAsia"/>
          <w:color w:val="auto"/>
          <w:highlight w:val="none"/>
        </w:rPr>
        <w:tab/>
      </w:r>
      <w:r>
        <w:rPr>
          <w:rFonts w:hint="eastAsia"/>
          <w:color w:val="auto"/>
          <w:highlight w:val="none"/>
        </w:rPr>
        <w:t>疾病、辞职、退休等无法克服、避免的客观情形确需更换的，原则上承包人应至少提前30天内向监理人、发包人报送变更申请（附更换原因证明材料和更换人员的详细履历资料，属于疾病需更换的应由三甲医院出具证明），拟更换后的项目管理人员应不低于招投标文件等合同文件中资质、资历、职称、业绩等有关要求、承诺，报批，经监理人审核、发包人同意后方能更换。承包人应确保申请材料真实、完整、合法有效，如经发包人发现变更申请存在弄虚作假等违背诚实信用原则的行为，均按100万元/次向发包人支付违约金。除上述无法克服、避免的客观情形外，承包人在合同期内项目管理人员变更比例超过30%的，承包人应向发包人支付50万元违约金。经发包人书面确认，发包人有权解除合同。</w:t>
      </w:r>
    </w:p>
    <w:p>
      <w:pPr>
        <w:pStyle w:val="15"/>
        <w:spacing w:line="360" w:lineRule="auto"/>
        <w:rPr>
          <w:color w:val="auto"/>
          <w:highlight w:val="none"/>
        </w:rPr>
      </w:pPr>
      <w:r>
        <w:rPr>
          <w:rFonts w:hint="eastAsia"/>
          <w:color w:val="auto"/>
          <w:highlight w:val="none"/>
        </w:rPr>
        <w:t>③经发包人报批，发包人同意，承包人的项目经理、其他项目管理人员在合同生效后半年内发生变更的，更换项目经理的违约金为10万元/次，更换其他项目管理人员的违约金为10万元/次。经发包人同意，承包人在合同生效半年后更换项目经理的，需支付违约金10万元/次；经发包人同意，承包人更换其他项目管理人员的，需向发包人支付违约金5万元/次。</w:t>
      </w:r>
    </w:p>
    <w:p>
      <w:pPr>
        <w:pStyle w:val="15"/>
        <w:spacing w:line="360" w:lineRule="auto"/>
        <w:rPr>
          <w:color w:val="auto"/>
          <w:highlight w:val="none"/>
        </w:rPr>
      </w:pPr>
      <w:r>
        <w:rPr>
          <w:rFonts w:hint="eastAsia"/>
          <w:color w:val="auto"/>
          <w:highlight w:val="none"/>
        </w:rPr>
        <w:t>6）承包人项目主要管理人员等专业知识、业务水平及管理、协调能力须能满足工作要求和服从发包人的管理，对不能满足要求者，经发包人书面确认，发包人有权要求承包人在收到书面通知后7天内无条件更换。如承包人拒不更换，或者7天内更换的人员不符合合同约定发包人要求的，应按以下标准支付违约金，项目经理为10万元/天，其他项目管理人员为5万元/天，直至更换人员符合发包人要求为止。同时，经发包人书面确认，发包人有权解除合同，全部责任由承包人承担。</w:t>
      </w:r>
    </w:p>
    <w:p>
      <w:pPr>
        <w:pStyle w:val="15"/>
        <w:spacing w:line="360" w:lineRule="auto"/>
        <w:rPr>
          <w:color w:val="auto"/>
          <w:highlight w:val="none"/>
        </w:rPr>
      </w:pPr>
      <w:r>
        <w:rPr>
          <w:rFonts w:hint="eastAsia"/>
          <w:color w:val="auto"/>
          <w:highlight w:val="none"/>
        </w:rPr>
        <w:t>7) 在与造价咨询人进行结算核对过程中，承包人不得向造价咨询人人员请客送礼、赠送钱物，发现一次，视情节严重程度承包人须向发包人支付违约金10~50万元。</w:t>
      </w:r>
    </w:p>
    <w:p>
      <w:pPr>
        <w:pStyle w:val="15"/>
        <w:spacing w:line="360" w:lineRule="auto"/>
        <w:rPr>
          <w:color w:val="auto"/>
          <w:highlight w:val="none"/>
        </w:rPr>
      </w:pPr>
      <w:r>
        <w:rPr>
          <w:rFonts w:hint="eastAsia"/>
          <w:color w:val="auto"/>
          <w:highlight w:val="none"/>
        </w:rPr>
        <w:t>8）合同约定的施工期按日历天计算，不考虑假期，承包人根据有关规定或自行安排员工假期的，承包人应将项目部管理人员值班名单于放假前7个日历天交发包人及发包人审批，审批后需变更人员的，承包人应及时通知工程师补办审批手续。承包人安排放假而无人值班的，按1万元每人次每天向发包人支付违约金，造成工程进度滞后或其他质量、安全事故的，由承包人承担全部责任。</w:t>
      </w:r>
    </w:p>
    <w:p>
      <w:pPr>
        <w:pStyle w:val="15"/>
        <w:spacing w:line="360" w:lineRule="auto"/>
        <w:rPr>
          <w:color w:val="auto"/>
          <w:highlight w:val="none"/>
        </w:rPr>
      </w:pPr>
      <w:r>
        <w:rPr>
          <w:rFonts w:hint="eastAsia"/>
          <w:color w:val="auto"/>
          <w:highlight w:val="none"/>
        </w:rPr>
        <w:t>9）项目经理、技术负责人、安全负责人必须按时参加工程会议，因故不能参加的应至少提前5小时提出申请并获得监理人批准方可缺席，否则承包人应按2万元/人次的标准向发包人支付违约金。</w:t>
      </w:r>
    </w:p>
    <w:p>
      <w:pPr>
        <w:spacing w:line="360" w:lineRule="auto"/>
        <w:ind w:firstLine="422" w:firstLineChars="200"/>
        <w:rPr>
          <w:rFonts w:hAnsi="Arial"/>
          <w:color w:val="auto"/>
          <w:szCs w:val="20"/>
          <w:highlight w:val="none"/>
        </w:rPr>
      </w:pPr>
      <w:r>
        <w:rPr>
          <w:rFonts w:hint="eastAsia" w:hAnsi="Arial"/>
          <w:b/>
          <w:bCs/>
          <w:color w:val="auto"/>
          <w:szCs w:val="20"/>
          <w:highlight w:val="none"/>
        </w:rPr>
        <w:t>（1</w:t>
      </w:r>
      <w:r>
        <w:rPr>
          <w:rFonts w:hAnsi="Arial"/>
          <w:b/>
          <w:bCs/>
          <w:color w:val="auto"/>
          <w:szCs w:val="20"/>
          <w:highlight w:val="none"/>
        </w:rPr>
        <w:t>2</w:t>
      </w:r>
      <w:r>
        <w:rPr>
          <w:rFonts w:hint="eastAsia" w:hAnsi="Arial"/>
          <w:b/>
          <w:bCs/>
          <w:color w:val="auto"/>
          <w:szCs w:val="20"/>
          <w:highlight w:val="none"/>
        </w:rPr>
        <w:t>）</w:t>
      </w:r>
      <w:r>
        <w:rPr>
          <w:rFonts w:hint="eastAsia" w:hAnsi="Arial"/>
          <w:color w:val="auto"/>
          <w:szCs w:val="20"/>
          <w:highlight w:val="none"/>
        </w:rPr>
        <w:t>本工程竣工验收且移交后，承包人的施工人员、材料、设备必须在 15天内全部退出现场，每延迟一天退场发包人收取承包人5000元违约金</w:t>
      </w:r>
    </w:p>
    <w:p>
      <w:pPr>
        <w:spacing w:line="360" w:lineRule="auto"/>
        <w:ind w:firstLine="420" w:firstLineChars="200"/>
        <w:rPr>
          <w:rFonts w:hAnsi="Arial"/>
          <w:color w:val="auto"/>
          <w:szCs w:val="20"/>
          <w:highlight w:val="none"/>
        </w:rPr>
      </w:pPr>
      <w:r>
        <w:rPr>
          <w:rFonts w:hint="eastAsia" w:hAnsi="Arial"/>
          <w:color w:val="auto"/>
          <w:szCs w:val="20"/>
          <w:highlight w:val="none"/>
        </w:rPr>
        <w:t>（1</w:t>
      </w:r>
      <w:r>
        <w:rPr>
          <w:rFonts w:hAnsi="Arial"/>
          <w:color w:val="auto"/>
          <w:szCs w:val="20"/>
          <w:highlight w:val="none"/>
        </w:rPr>
        <w:t>3</w:t>
      </w:r>
      <w:r>
        <w:rPr>
          <w:rFonts w:hint="eastAsia" w:hAnsi="Arial"/>
          <w:color w:val="auto"/>
          <w:szCs w:val="20"/>
          <w:highlight w:val="none"/>
        </w:rPr>
        <w:t>）无论因何原因按照约定或法定解除合同的，承包人的施工人员、材料、设备必须在15天内清场并全部退出现场，如逾期退场或拒绝退场的，每延迟一天退场，发包人收取承包人5000元违约金。承包人拒绝清场的，应同时承担发包人委托第三方清场的费用。</w:t>
      </w:r>
    </w:p>
    <w:p>
      <w:pPr>
        <w:spacing w:line="360" w:lineRule="auto"/>
        <w:ind w:firstLine="420" w:firstLineChars="200"/>
        <w:rPr>
          <w:rFonts w:hAnsi="Arial"/>
          <w:color w:val="auto"/>
          <w:szCs w:val="20"/>
          <w:highlight w:val="none"/>
        </w:rPr>
      </w:pPr>
      <w:r>
        <w:rPr>
          <w:rFonts w:hint="eastAsia" w:hAnsi="Arial"/>
          <w:color w:val="auto"/>
          <w:szCs w:val="20"/>
          <w:highlight w:val="none"/>
        </w:rPr>
        <w:t>（1</w:t>
      </w:r>
      <w:r>
        <w:rPr>
          <w:rFonts w:hAnsi="Arial"/>
          <w:color w:val="auto"/>
          <w:szCs w:val="20"/>
          <w:highlight w:val="none"/>
        </w:rPr>
        <w:t>4</w:t>
      </w:r>
      <w:r>
        <w:rPr>
          <w:rFonts w:hint="eastAsia" w:hAnsi="Arial"/>
          <w:color w:val="auto"/>
          <w:szCs w:val="20"/>
          <w:highlight w:val="none"/>
        </w:rPr>
        <w:t>）承包人延迟提供符合以上规定的竣工图纸及竣工资料的，每延迟1天，须向发包人支付签约合同价格的万分之五作为违约金。</w:t>
      </w:r>
    </w:p>
    <w:p>
      <w:pPr>
        <w:rPr>
          <w:rFonts w:hAnsi="Arial"/>
          <w:color w:val="auto"/>
          <w:szCs w:val="20"/>
          <w:highlight w:val="none"/>
        </w:rPr>
      </w:pPr>
      <w:r>
        <w:rPr>
          <w:rFonts w:hint="eastAsia" w:hAnsi="Arial"/>
          <w:b/>
          <w:bCs/>
          <w:color w:val="auto"/>
          <w:szCs w:val="20"/>
          <w:highlight w:val="none"/>
        </w:rPr>
        <w:t>22.1.1</w:t>
      </w:r>
      <w:r>
        <w:rPr>
          <w:rFonts w:hAnsi="Arial"/>
          <w:b/>
          <w:bCs/>
          <w:color w:val="auto"/>
          <w:szCs w:val="20"/>
          <w:highlight w:val="none"/>
        </w:rPr>
        <w:t>1</w:t>
      </w:r>
      <w:r>
        <w:rPr>
          <w:rFonts w:hint="eastAsia" w:hAnsi="Arial"/>
          <w:color w:val="auto"/>
          <w:szCs w:val="20"/>
          <w:highlight w:val="none"/>
        </w:rPr>
        <w:t>关于转包的约定</w:t>
      </w:r>
    </w:p>
    <w:p>
      <w:pPr>
        <w:spacing w:line="360" w:lineRule="auto"/>
        <w:ind w:firstLine="420" w:firstLineChars="200"/>
        <w:rPr>
          <w:rFonts w:hAnsi="Arial"/>
          <w:color w:val="auto"/>
          <w:szCs w:val="20"/>
          <w:highlight w:val="none"/>
        </w:rPr>
      </w:pPr>
      <w:r>
        <w:rPr>
          <w:rFonts w:hint="eastAsia" w:hAnsi="Arial"/>
          <w:color w:val="auto"/>
          <w:szCs w:val="20"/>
          <w:highlight w:val="none"/>
        </w:rPr>
        <w:t>本项目禁止转包或肢解后以分包名义进行转包。承包人存在下列情形之一的应认定为转包：</w:t>
      </w:r>
    </w:p>
    <w:p>
      <w:pPr>
        <w:spacing w:line="360" w:lineRule="auto"/>
        <w:ind w:firstLine="420" w:firstLineChars="200"/>
        <w:rPr>
          <w:rFonts w:hAnsi="Arial"/>
          <w:color w:val="auto"/>
          <w:szCs w:val="20"/>
          <w:highlight w:val="none"/>
        </w:rPr>
      </w:pPr>
      <w:r>
        <w:rPr>
          <w:rFonts w:hint="eastAsia" w:hAnsi="Arial"/>
          <w:color w:val="auto"/>
          <w:szCs w:val="20"/>
          <w:highlight w:val="none"/>
        </w:rPr>
        <w:t>①承包人将其承包的全部工程转给其他单位或个人施工的；</w:t>
      </w:r>
    </w:p>
    <w:p>
      <w:pPr>
        <w:spacing w:line="360" w:lineRule="auto"/>
        <w:ind w:firstLine="420" w:firstLineChars="200"/>
        <w:rPr>
          <w:rFonts w:hAnsi="Arial"/>
          <w:color w:val="auto"/>
          <w:szCs w:val="20"/>
          <w:highlight w:val="none"/>
        </w:rPr>
      </w:pPr>
      <w:r>
        <w:rPr>
          <w:rFonts w:hint="eastAsia" w:hAnsi="Arial"/>
          <w:color w:val="auto"/>
          <w:szCs w:val="20"/>
          <w:highlight w:val="none"/>
        </w:rPr>
        <w:t>②承包人将其承包的全部工程肢解以后，以分包的名义分别转给其他单位或个人施工的；</w:t>
      </w:r>
    </w:p>
    <w:p>
      <w:pPr>
        <w:spacing w:line="360" w:lineRule="auto"/>
        <w:ind w:firstLine="420" w:firstLineChars="200"/>
        <w:rPr>
          <w:rFonts w:hAnsi="Arial"/>
          <w:color w:val="auto"/>
          <w:szCs w:val="20"/>
          <w:highlight w:val="none"/>
        </w:rPr>
      </w:pPr>
      <w:r>
        <w:rPr>
          <w:rFonts w:hint="eastAsia" w:hAnsi="Arial"/>
          <w:color w:val="auto"/>
          <w:szCs w:val="20"/>
          <w:highlight w:val="none"/>
        </w:rPr>
        <w:t>③承包人通过采取合作、联营、个人承包等形式或名义，直接或变相将其他承包的全部工程转给其他单位或个人施工的。</w:t>
      </w:r>
    </w:p>
    <w:p>
      <w:pPr>
        <w:spacing w:line="360" w:lineRule="auto"/>
        <w:ind w:firstLine="420" w:firstLineChars="200"/>
        <w:rPr>
          <w:rFonts w:hAnsi="Arial"/>
          <w:color w:val="auto"/>
          <w:szCs w:val="20"/>
          <w:highlight w:val="none"/>
        </w:rPr>
      </w:pPr>
      <w:r>
        <w:rPr>
          <w:rFonts w:hint="eastAsia" w:hAnsi="Arial"/>
          <w:color w:val="auto"/>
          <w:szCs w:val="20"/>
          <w:highlight w:val="none"/>
        </w:rPr>
        <w:t xml:space="preserve">④其他属于《建筑工程施工转包违法分包等违法行为认定查处管理办法（试行）》认定的转包情形。 </w:t>
      </w:r>
    </w:p>
    <w:p>
      <w:pPr>
        <w:spacing w:line="360" w:lineRule="auto"/>
        <w:ind w:firstLine="420" w:firstLineChars="200"/>
        <w:rPr>
          <w:rFonts w:hAnsi="Arial"/>
          <w:color w:val="auto"/>
          <w:szCs w:val="20"/>
          <w:highlight w:val="none"/>
        </w:rPr>
      </w:pPr>
      <w:r>
        <w:rPr>
          <w:rFonts w:hint="eastAsia" w:hAnsi="Arial"/>
          <w:color w:val="auto"/>
          <w:szCs w:val="20"/>
          <w:highlight w:val="none"/>
        </w:rPr>
        <w:t>承包人出现以上转包情形的，发包人有权单方解除合同，承包人应向发包人承担签约合同价格的10%作为违约金，由此造成发包人损失的，由承包人负责赔偿。</w:t>
      </w:r>
    </w:p>
    <w:p>
      <w:pPr>
        <w:spacing w:line="360" w:lineRule="auto"/>
        <w:ind w:firstLine="422" w:firstLineChars="200"/>
        <w:rPr>
          <w:rFonts w:hAnsi="Arial"/>
          <w:color w:val="auto"/>
          <w:szCs w:val="20"/>
          <w:highlight w:val="none"/>
        </w:rPr>
      </w:pPr>
      <w:r>
        <w:rPr>
          <w:rFonts w:hint="eastAsia" w:hAnsi="Arial"/>
          <w:b/>
          <w:bCs/>
          <w:color w:val="auto"/>
          <w:szCs w:val="20"/>
          <w:highlight w:val="none"/>
        </w:rPr>
        <w:t>22.1.1</w:t>
      </w:r>
      <w:r>
        <w:rPr>
          <w:rFonts w:hAnsi="Arial"/>
          <w:b/>
          <w:bCs/>
          <w:color w:val="auto"/>
          <w:szCs w:val="20"/>
          <w:highlight w:val="none"/>
        </w:rPr>
        <w:t>5</w:t>
      </w:r>
      <w:r>
        <w:rPr>
          <w:rFonts w:hint="eastAsia" w:hAnsi="Arial"/>
          <w:color w:val="auto"/>
          <w:szCs w:val="20"/>
          <w:highlight w:val="none"/>
        </w:rPr>
        <w:t>关于挂靠的约定</w:t>
      </w:r>
    </w:p>
    <w:p>
      <w:pPr>
        <w:spacing w:line="360" w:lineRule="auto"/>
        <w:ind w:firstLine="420" w:firstLineChars="200"/>
        <w:rPr>
          <w:rFonts w:hAnsi="Arial"/>
          <w:color w:val="auto"/>
          <w:szCs w:val="20"/>
          <w:highlight w:val="none"/>
        </w:rPr>
      </w:pPr>
      <w:r>
        <w:rPr>
          <w:rFonts w:hint="eastAsia" w:hAnsi="Arial"/>
          <w:color w:val="auto"/>
          <w:szCs w:val="20"/>
          <w:highlight w:val="none"/>
        </w:rPr>
        <w:t>承包人存在下列情形之一的，应认定为挂靠：</w:t>
      </w:r>
    </w:p>
    <w:p>
      <w:pPr>
        <w:spacing w:line="360" w:lineRule="auto"/>
        <w:ind w:firstLine="420" w:firstLineChars="200"/>
        <w:rPr>
          <w:rFonts w:hAnsi="Arial"/>
          <w:color w:val="auto"/>
          <w:szCs w:val="20"/>
          <w:highlight w:val="none"/>
        </w:rPr>
      </w:pPr>
      <w:r>
        <w:rPr>
          <w:rFonts w:hint="eastAsia" w:hAnsi="Arial"/>
          <w:color w:val="auto"/>
          <w:szCs w:val="20"/>
          <w:highlight w:val="none"/>
        </w:rPr>
        <w:t>① 承包人允许没有资质的单位或个人借用其资质承揽工程的；</w:t>
      </w:r>
    </w:p>
    <w:p>
      <w:pPr>
        <w:spacing w:line="360" w:lineRule="auto"/>
        <w:ind w:firstLine="420" w:firstLineChars="200"/>
        <w:rPr>
          <w:rFonts w:hAnsi="Arial"/>
          <w:color w:val="auto"/>
          <w:szCs w:val="20"/>
          <w:highlight w:val="none"/>
        </w:rPr>
      </w:pPr>
      <w:r>
        <w:rPr>
          <w:rFonts w:hint="eastAsia" w:hAnsi="Arial"/>
          <w:color w:val="auto"/>
          <w:szCs w:val="20"/>
          <w:highlight w:val="none"/>
        </w:rPr>
        <w:t>② 承包人通过采取合作、联营、个人承包等形式或名义，直接或变相将其承包的全部工程转给其他单位或个人施工的；</w:t>
      </w:r>
    </w:p>
    <w:p>
      <w:pPr>
        <w:spacing w:line="360" w:lineRule="auto"/>
        <w:ind w:firstLine="420" w:firstLineChars="200"/>
        <w:rPr>
          <w:rFonts w:hAnsi="Arial"/>
          <w:color w:val="auto"/>
          <w:szCs w:val="20"/>
          <w:highlight w:val="none"/>
        </w:rPr>
      </w:pPr>
      <w:r>
        <w:rPr>
          <w:rFonts w:hint="eastAsia" w:hAnsi="Arial"/>
          <w:color w:val="auto"/>
          <w:szCs w:val="20"/>
          <w:highlight w:val="none"/>
        </w:rPr>
        <w:t>③ 承包人收到工程款后又将款项转拨给其他单位和个人，又不能进行合理解释并提供材料证明的；</w:t>
      </w:r>
    </w:p>
    <w:p>
      <w:pPr>
        <w:spacing w:line="360" w:lineRule="auto"/>
        <w:ind w:firstLine="420" w:firstLineChars="200"/>
        <w:rPr>
          <w:rFonts w:hAnsi="Arial"/>
          <w:color w:val="auto"/>
          <w:szCs w:val="20"/>
          <w:highlight w:val="none"/>
        </w:rPr>
      </w:pPr>
      <w:r>
        <w:rPr>
          <w:rFonts w:hint="eastAsia" w:hAnsi="Arial"/>
          <w:color w:val="auto"/>
          <w:szCs w:val="20"/>
          <w:highlight w:val="none"/>
        </w:rPr>
        <w:t>④《建筑工程施工转包违法分包等违法行为认定查处管理办法（试行）》等法律法规认定的挂靠情形。</w:t>
      </w:r>
    </w:p>
    <w:p>
      <w:pPr>
        <w:spacing w:line="360" w:lineRule="auto"/>
        <w:ind w:firstLine="420" w:firstLineChars="200"/>
        <w:rPr>
          <w:rFonts w:hAnsi="Arial"/>
          <w:color w:val="auto"/>
          <w:szCs w:val="20"/>
          <w:highlight w:val="none"/>
        </w:rPr>
      </w:pPr>
      <w:r>
        <w:rPr>
          <w:rFonts w:hint="eastAsia" w:hAnsi="Arial"/>
          <w:color w:val="auto"/>
          <w:szCs w:val="20"/>
          <w:highlight w:val="none"/>
        </w:rPr>
        <w:t xml:space="preserve">承包人出现以上挂靠情形的，发包人有权单方解除部分或全部合同，承包人应支付本工程合同暂定总价10%的违约金，由此造成发包人损失的，由承包人负责赔偿。 </w:t>
      </w:r>
    </w:p>
    <w:p>
      <w:pPr>
        <w:spacing w:line="360" w:lineRule="auto"/>
        <w:ind w:firstLine="420" w:firstLineChars="200"/>
        <w:rPr>
          <w:rFonts w:hAnsi="Arial"/>
          <w:color w:val="auto"/>
          <w:szCs w:val="20"/>
          <w:highlight w:val="none"/>
        </w:rPr>
      </w:pPr>
      <w:r>
        <w:rPr>
          <w:rFonts w:hAnsi="Arial"/>
          <w:color w:val="auto"/>
          <w:szCs w:val="20"/>
          <w:highlight w:val="none"/>
        </w:rPr>
        <w:t xml:space="preserve"> </w:t>
      </w:r>
      <w:r>
        <w:rPr>
          <w:rFonts w:hint="eastAsia" w:hAnsi="Arial"/>
          <w:color w:val="auto"/>
          <w:szCs w:val="20"/>
          <w:highlight w:val="none"/>
        </w:rPr>
        <w:t xml:space="preserve"> 关于违法分包的约定：</w:t>
      </w:r>
    </w:p>
    <w:p>
      <w:pPr>
        <w:spacing w:line="360" w:lineRule="auto"/>
        <w:ind w:firstLine="420" w:firstLineChars="200"/>
        <w:rPr>
          <w:rFonts w:hAnsi="Arial"/>
          <w:color w:val="auto"/>
          <w:szCs w:val="20"/>
          <w:highlight w:val="none"/>
        </w:rPr>
      </w:pPr>
      <w:r>
        <w:rPr>
          <w:rFonts w:hint="eastAsia" w:hAnsi="Arial"/>
          <w:color w:val="auto"/>
          <w:szCs w:val="20"/>
          <w:highlight w:val="none"/>
        </w:rPr>
        <w:t>承包人出现《建筑工程施工转包违法分包等违法行为认定查处管理办法（试行）》等法律法规认定的违法分包情形的，应认定为违法分包。</w:t>
      </w:r>
    </w:p>
    <w:p>
      <w:pPr>
        <w:spacing w:line="360" w:lineRule="auto"/>
        <w:ind w:firstLine="420" w:firstLineChars="200"/>
        <w:rPr>
          <w:rFonts w:hAnsi="Arial"/>
          <w:color w:val="auto"/>
          <w:szCs w:val="20"/>
          <w:highlight w:val="none"/>
        </w:rPr>
      </w:pPr>
      <w:r>
        <w:rPr>
          <w:rFonts w:hint="eastAsia" w:hAnsi="Arial"/>
          <w:color w:val="auto"/>
          <w:szCs w:val="20"/>
          <w:highlight w:val="none"/>
        </w:rPr>
        <w:t>承包人出现违法分包情形的，发包人有权单方解除部分或全部合同，承包人应支付本工程合同暂定总价10%的违约金，由此造成发包人损失的，由承包人负责赔偿。</w:t>
      </w:r>
    </w:p>
    <w:p>
      <w:pPr>
        <w:spacing w:line="360" w:lineRule="auto"/>
        <w:ind w:firstLine="420" w:firstLineChars="200"/>
        <w:rPr>
          <w:rFonts w:hAnsi="宋体"/>
          <w:color w:val="auto"/>
          <w:highlight w:val="none"/>
        </w:rPr>
      </w:pPr>
      <w:r>
        <w:rPr>
          <w:rFonts w:hint="eastAsia"/>
          <w:color w:val="auto"/>
          <w:highlight w:val="none"/>
        </w:rPr>
        <w:t>22.1.1</w:t>
      </w:r>
      <w:r>
        <w:rPr>
          <w:color w:val="auto"/>
          <w:highlight w:val="none"/>
        </w:rPr>
        <w:t>6</w:t>
      </w:r>
      <w:r>
        <w:rPr>
          <w:rFonts w:hint="eastAsia" w:hAnsi="Arial"/>
          <w:color w:val="auto"/>
          <w:szCs w:val="20"/>
          <w:highlight w:val="none"/>
        </w:rPr>
        <w:t>因承包人或分包单位未按时支付人员工资、劳务费用、 材料设备款项、安全责任事故有关赔偿费用等其它情形，可能或者已经影响工程进度或工程正常运行，或出于维稳需要，发包人有权直接向工程相关第三方支付，并从承包人工程款 中直接扣除，承包人无条件认可发包人垫付的款项金额。同 时，发包人有权要求承包人按垫付金额的 20%支付违约金。</w:t>
      </w:r>
    </w:p>
    <w:p>
      <w:pPr>
        <w:rPr>
          <w:color w:val="auto"/>
          <w:highlight w:val="none"/>
        </w:rPr>
      </w:pPr>
    </w:p>
    <w:p>
      <w:pPr>
        <w:pStyle w:val="5"/>
        <w:spacing w:before="156" w:beforeLines="50"/>
        <w:rPr>
          <w:color w:val="auto"/>
          <w:highlight w:val="none"/>
        </w:rPr>
      </w:pPr>
      <w:r>
        <w:rPr>
          <w:color w:val="auto"/>
          <w:highlight w:val="none"/>
        </w:rPr>
        <w:t>23</w:t>
      </w:r>
      <w:r>
        <w:rPr>
          <w:rFonts w:hint="eastAsia"/>
          <w:color w:val="auto"/>
          <w:highlight w:val="none"/>
        </w:rPr>
        <w:tab/>
      </w:r>
      <w:bookmarkStart w:id="475" w:name="_Toc33092203"/>
      <w:bookmarkStart w:id="476" w:name="_Toc12499"/>
      <w:bookmarkStart w:id="477" w:name="_Toc427331258"/>
      <w:bookmarkStart w:id="478" w:name="_Toc33448491"/>
      <w:bookmarkStart w:id="479" w:name="_Toc33448420"/>
      <w:bookmarkStart w:id="480" w:name="_Toc33445990"/>
      <w:bookmarkStart w:id="481" w:name="_Toc133502215"/>
      <w:bookmarkStart w:id="482" w:name="_Toc33445915"/>
      <w:bookmarkStart w:id="483" w:name="_Toc33446093"/>
      <w:r>
        <w:rPr>
          <w:rFonts w:hint="eastAsia"/>
          <w:color w:val="auto"/>
          <w:highlight w:val="none"/>
        </w:rPr>
        <w:t>争议的解决</w:t>
      </w:r>
      <w:bookmarkEnd w:id="475"/>
      <w:bookmarkEnd w:id="476"/>
      <w:bookmarkEnd w:id="477"/>
      <w:bookmarkEnd w:id="478"/>
      <w:bookmarkEnd w:id="479"/>
      <w:bookmarkEnd w:id="480"/>
      <w:bookmarkEnd w:id="481"/>
      <w:bookmarkEnd w:id="482"/>
      <w:bookmarkEnd w:id="483"/>
    </w:p>
    <w:p>
      <w:pPr>
        <w:pStyle w:val="78"/>
        <w:spacing w:line="360" w:lineRule="auto"/>
        <w:rPr>
          <w:color w:val="auto"/>
          <w:highlight w:val="none"/>
        </w:rPr>
      </w:pPr>
      <w:r>
        <w:rPr>
          <w:rFonts w:hint="eastAsia"/>
          <w:color w:val="auto"/>
          <w:highlight w:val="none"/>
        </w:rPr>
        <w:t>合同当事人双方在履行合同时发生争议，双方应友好协商，可以采取和解或者要求有关主管部门调解。当事人不愿和解、调解或者和解、调解不成的，采取向工程所在地有管辖权的人民法院提起诉讼的方式解决。</w:t>
      </w:r>
    </w:p>
    <w:p>
      <w:pPr>
        <w:pStyle w:val="5"/>
        <w:spacing w:before="156" w:beforeLines="50"/>
        <w:rPr>
          <w:color w:val="auto"/>
          <w:highlight w:val="none"/>
        </w:rPr>
      </w:pPr>
      <w:r>
        <w:rPr>
          <w:color w:val="auto"/>
          <w:highlight w:val="none"/>
        </w:rPr>
        <w:t>24</w:t>
      </w:r>
      <w:r>
        <w:rPr>
          <w:rFonts w:hint="eastAsia"/>
          <w:color w:val="auto"/>
          <w:highlight w:val="none"/>
        </w:rPr>
        <w:tab/>
      </w:r>
      <w:r>
        <w:rPr>
          <w:rFonts w:hint="eastAsia"/>
          <w:color w:val="auto"/>
          <w:highlight w:val="none"/>
        </w:rPr>
        <w:t>合同的解除</w:t>
      </w:r>
    </w:p>
    <w:p>
      <w:pPr>
        <w:pStyle w:val="78"/>
        <w:spacing w:line="360" w:lineRule="auto"/>
        <w:outlineLvl w:val="1"/>
        <w:rPr>
          <w:color w:val="auto"/>
          <w:highlight w:val="none"/>
        </w:rPr>
      </w:pPr>
      <w:r>
        <w:rPr>
          <w:rFonts w:hint="eastAsia"/>
          <w:color w:val="auto"/>
          <w:highlight w:val="none"/>
        </w:rPr>
        <w:t>24.1发包人解除合同</w:t>
      </w:r>
    </w:p>
    <w:p>
      <w:pPr>
        <w:pStyle w:val="78"/>
        <w:spacing w:line="360" w:lineRule="auto"/>
        <w:rPr>
          <w:color w:val="auto"/>
          <w:highlight w:val="none"/>
        </w:rPr>
      </w:pPr>
      <w:r>
        <w:rPr>
          <w:rFonts w:hint="eastAsia"/>
          <w:color w:val="auto"/>
          <w:highlight w:val="none"/>
        </w:rPr>
        <w:t>24.1.1除本合同其他条款所约定的发包人解除合同情形外，承包人有以下任何一项或多项时，发包人书面有权解除本合同，承包人应向发包人支付违约金【10】万：</w:t>
      </w:r>
    </w:p>
    <w:p>
      <w:pPr>
        <w:pStyle w:val="78"/>
        <w:spacing w:line="360" w:lineRule="auto"/>
        <w:rPr>
          <w:color w:val="auto"/>
          <w:highlight w:val="none"/>
        </w:rPr>
      </w:pPr>
      <w:r>
        <w:rPr>
          <w:rFonts w:hint="eastAsia"/>
          <w:color w:val="auto"/>
          <w:highlight w:val="none"/>
        </w:rPr>
        <w:t>(1)</w:t>
      </w:r>
      <w:r>
        <w:rPr>
          <w:rFonts w:hint="eastAsia"/>
          <w:color w:val="auto"/>
          <w:highlight w:val="none"/>
        </w:rPr>
        <w:tab/>
      </w:r>
      <w:r>
        <w:rPr>
          <w:rFonts w:hint="eastAsia"/>
          <w:color w:val="auto"/>
          <w:highlight w:val="none"/>
        </w:rPr>
        <w:t>没有合理原因而在工程竣工前中止施工连续或累计超过 7 天的；</w:t>
      </w:r>
    </w:p>
    <w:p>
      <w:pPr>
        <w:pStyle w:val="78"/>
        <w:spacing w:line="360" w:lineRule="auto"/>
        <w:rPr>
          <w:color w:val="auto"/>
          <w:highlight w:val="none"/>
        </w:rPr>
      </w:pPr>
      <w:r>
        <w:rPr>
          <w:rFonts w:hint="eastAsia"/>
          <w:color w:val="auto"/>
          <w:highlight w:val="none"/>
        </w:rPr>
        <w:t>(2)</w:t>
      </w:r>
      <w:r>
        <w:rPr>
          <w:rFonts w:hint="eastAsia"/>
          <w:color w:val="auto"/>
          <w:highlight w:val="none"/>
        </w:rPr>
        <w:tab/>
      </w:r>
      <w:r>
        <w:rPr>
          <w:rFonts w:hint="eastAsia"/>
          <w:color w:val="auto"/>
          <w:highlight w:val="none"/>
        </w:rPr>
        <w:t>没有按合同约定进行工程施工，按照发包人和（或）监理单位确认的施工进度计划合理推算承包人无法按合同规定的日期竣工的；</w:t>
      </w:r>
    </w:p>
    <w:p>
      <w:pPr>
        <w:pStyle w:val="78"/>
        <w:spacing w:line="360" w:lineRule="auto"/>
        <w:rPr>
          <w:color w:val="auto"/>
          <w:highlight w:val="none"/>
        </w:rPr>
      </w:pPr>
      <w:r>
        <w:rPr>
          <w:rFonts w:hint="eastAsia"/>
          <w:color w:val="auto"/>
          <w:highlight w:val="none"/>
        </w:rPr>
        <w:t>(3)</w:t>
      </w:r>
      <w:r>
        <w:rPr>
          <w:rFonts w:hint="eastAsia"/>
          <w:color w:val="auto"/>
          <w:highlight w:val="none"/>
        </w:rPr>
        <w:tab/>
      </w:r>
      <w:r>
        <w:rPr>
          <w:rFonts w:hint="eastAsia"/>
          <w:color w:val="auto"/>
          <w:highlight w:val="none"/>
        </w:rPr>
        <w:t>不遵守发包人和（或）监理单位发出要求其整改缺陷的工作；拒绝或迟延履行发包人和（或）监理单位发出运走不合格材料或设备的书面通知，对工程进度有实质性影响的；</w:t>
      </w:r>
    </w:p>
    <w:p>
      <w:pPr>
        <w:pStyle w:val="78"/>
        <w:spacing w:line="360" w:lineRule="auto"/>
        <w:rPr>
          <w:color w:val="auto"/>
          <w:highlight w:val="none"/>
        </w:rPr>
      </w:pPr>
      <w:r>
        <w:rPr>
          <w:rFonts w:hint="eastAsia"/>
          <w:color w:val="auto"/>
          <w:highlight w:val="none"/>
        </w:rPr>
        <w:t>(4)</w:t>
      </w:r>
      <w:r>
        <w:rPr>
          <w:rFonts w:hint="eastAsia"/>
          <w:color w:val="auto"/>
          <w:highlight w:val="none"/>
        </w:rPr>
        <w:tab/>
      </w:r>
      <w:r>
        <w:rPr>
          <w:rFonts w:hint="eastAsia"/>
          <w:color w:val="auto"/>
          <w:highlight w:val="none"/>
        </w:rPr>
        <w:t>承包人在施工当中，如出现重大的质量问题或进度无法满足发包人的要求时，在发包人书面通知承包人的10天内，承包人仍无明显改进的；</w:t>
      </w:r>
    </w:p>
    <w:p>
      <w:pPr>
        <w:pStyle w:val="78"/>
        <w:spacing w:line="360" w:lineRule="auto"/>
        <w:rPr>
          <w:color w:val="auto"/>
          <w:highlight w:val="none"/>
        </w:rPr>
      </w:pPr>
      <w:r>
        <w:rPr>
          <w:rFonts w:hint="eastAsia"/>
          <w:color w:val="auto"/>
          <w:highlight w:val="none"/>
        </w:rPr>
        <w:t>(5)</w:t>
      </w:r>
      <w:r>
        <w:rPr>
          <w:rFonts w:hint="eastAsia"/>
          <w:color w:val="auto"/>
          <w:highlight w:val="none"/>
        </w:rPr>
        <w:tab/>
      </w:r>
      <w:r>
        <w:rPr>
          <w:rFonts w:hint="eastAsia"/>
          <w:color w:val="auto"/>
          <w:highlight w:val="none"/>
        </w:rPr>
        <w:t>承包人发生重大安全、质量事故且无妥善处理的,收到发包人警告后仍未采取有效措施改正、补救的；</w:t>
      </w:r>
    </w:p>
    <w:p>
      <w:pPr>
        <w:pStyle w:val="78"/>
        <w:spacing w:line="360" w:lineRule="auto"/>
        <w:rPr>
          <w:color w:val="auto"/>
          <w:highlight w:val="none"/>
        </w:rPr>
      </w:pPr>
      <w:r>
        <w:rPr>
          <w:rFonts w:hint="eastAsia"/>
          <w:color w:val="auto"/>
          <w:highlight w:val="none"/>
        </w:rPr>
        <w:t>(6)</w:t>
      </w:r>
      <w:r>
        <w:rPr>
          <w:rFonts w:hint="eastAsia"/>
          <w:color w:val="auto"/>
          <w:highlight w:val="none"/>
        </w:rPr>
        <w:tab/>
      </w:r>
      <w:r>
        <w:rPr>
          <w:rFonts w:hint="eastAsia"/>
          <w:color w:val="auto"/>
          <w:highlight w:val="none"/>
        </w:rPr>
        <w:t>本合同已生效，承包人未按本合同规定提供履约保函；</w:t>
      </w:r>
    </w:p>
    <w:p>
      <w:pPr>
        <w:pStyle w:val="78"/>
        <w:spacing w:line="360" w:lineRule="auto"/>
        <w:rPr>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承包人为与本工程有关的任何事项，提供贿赂或任何形式的利益作为引诱或奖励，影响或可能影响本工程的正常进行的，发包人有权即时解除本合同，停止支付工程款，主张履约担保的权利，并由承包人及其保证人连带负责赔偿发包人由此而造成的全部损失；</w:t>
      </w:r>
    </w:p>
    <w:p>
      <w:pPr>
        <w:pStyle w:val="78"/>
        <w:spacing w:line="360" w:lineRule="auto"/>
        <w:rPr>
          <w:color w:val="auto"/>
          <w:highlight w:val="none"/>
        </w:rPr>
      </w:pPr>
      <w:r>
        <w:rPr>
          <w:rFonts w:hint="eastAsia"/>
          <w:color w:val="auto"/>
          <w:highlight w:val="none"/>
        </w:rPr>
        <w:t>(8)</w:t>
      </w:r>
      <w:r>
        <w:rPr>
          <w:rFonts w:hint="eastAsia"/>
          <w:color w:val="auto"/>
          <w:highlight w:val="none"/>
        </w:rPr>
        <w:tab/>
      </w:r>
      <w:r>
        <w:rPr>
          <w:rFonts w:hint="eastAsia"/>
          <w:color w:val="auto"/>
          <w:highlight w:val="none"/>
        </w:rPr>
        <w:t>本合同约定的发包人有权解除合同的其他情形。</w:t>
      </w:r>
    </w:p>
    <w:p>
      <w:pPr>
        <w:pStyle w:val="78"/>
        <w:spacing w:line="360" w:lineRule="auto"/>
        <w:rPr>
          <w:color w:val="auto"/>
          <w:highlight w:val="none"/>
        </w:rPr>
      </w:pPr>
      <w:r>
        <w:rPr>
          <w:rFonts w:hint="eastAsia"/>
          <w:color w:val="auto"/>
          <w:highlight w:val="none"/>
        </w:rPr>
        <w:t>24.1.2发包人按第241.1条款解除合同的，双方共同约定如下：</w:t>
      </w:r>
    </w:p>
    <w:p>
      <w:pPr>
        <w:pStyle w:val="78"/>
        <w:spacing w:line="360" w:lineRule="auto"/>
        <w:rPr>
          <w:color w:val="auto"/>
          <w:highlight w:val="none"/>
        </w:rPr>
      </w:pPr>
      <w:r>
        <w:rPr>
          <w:rFonts w:hint="eastAsia"/>
          <w:color w:val="auto"/>
          <w:highlight w:val="none"/>
        </w:rPr>
        <w:t>(1)</w:t>
      </w:r>
      <w:r>
        <w:rPr>
          <w:rFonts w:hint="eastAsia"/>
          <w:color w:val="auto"/>
          <w:highlight w:val="none"/>
        </w:rPr>
        <w:tab/>
      </w:r>
      <w:r>
        <w:rPr>
          <w:rFonts w:hint="eastAsia"/>
          <w:color w:val="auto"/>
          <w:highlight w:val="none"/>
        </w:rPr>
        <w:t>发包人有权邀请其他施工单位继续完成本工程，被邀请的施工单位进入工程现场有权免费使用一切临时建筑物、施工机械、施工工具、器材并用于本工程，免费使用已送抵和置于工程现场或周转场地的所有材料设备；</w:t>
      </w:r>
    </w:p>
    <w:p>
      <w:pPr>
        <w:pStyle w:val="78"/>
        <w:spacing w:line="360" w:lineRule="auto"/>
        <w:rPr>
          <w:color w:val="auto"/>
          <w:highlight w:val="none"/>
        </w:rPr>
      </w:pPr>
      <w:r>
        <w:rPr>
          <w:rFonts w:hint="eastAsia"/>
          <w:color w:val="auto"/>
          <w:highlight w:val="none"/>
        </w:rPr>
        <w:t>(2)</w:t>
      </w:r>
      <w:r>
        <w:rPr>
          <w:rFonts w:hint="eastAsia"/>
          <w:color w:val="auto"/>
          <w:highlight w:val="none"/>
        </w:rPr>
        <w:tab/>
      </w:r>
      <w:r>
        <w:rPr>
          <w:rFonts w:hint="eastAsia"/>
          <w:color w:val="auto"/>
          <w:highlight w:val="none"/>
        </w:rPr>
        <w:t>发包人有权选择要求承包人在解除合同之日起14天内把为本工程所签订的材料或设备等订货合同及其权益免费转让给发包人；</w:t>
      </w:r>
    </w:p>
    <w:p>
      <w:pPr>
        <w:pStyle w:val="78"/>
        <w:spacing w:line="360" w:lineRule="auto"/>
        <w:rPr>
          <w:color w:val="auto"/>
          <w:highlight w:val="none"/>
        </w:rPr>
      </w:pPr>
      <w:r>
        <w:rPr>
          <w:rFonts w:hint="eastAsia"/>
          <w:color w:val="auto"/>
          <w:highlight w:val="none"/>
        </w:rPr>
        <w:t>(3)</w:t>
      </w:r>
      <w:r>
        <w:rPr>
          <w:rFonts w:hint="eastAsia"/>
          <w:color w:val="auto"/>
          <w:highlight w:val="none"/>
        </w:rPr>
        <w:tab/>
      </w:r>
      <w:r>
        <w:rPr>
          <w:rFonts w:hint="eastAsia"/>
          <w:color w:val="auto"/>
          <w:highlight w:val="none"/>
        </w:rPr>
        <w:t>发包人有权要求承包人从工程现场运走或拆除属于承包人或由承包人租用的任何临时的建筑物、施工机械、施工工具、器材、材料或设备。如在发包人发出该等书面要求超过 7 天，承包人未按发包人要求运走或拆除上述材料、机械、设备，发包人有权自行或委托第三方运走或拆除承包人的上述任一财产，支出的所有费用应视为承包人的债务，发包人有权从应付承包人的合同款项或履约保函中直接扣除；承包人不得以工程量未经确认而拒绝移交施工场地，每延迟一天退场，承包人须向发包人支付 【2】万元/天的违约金，并且发包人有权直接或委托第三方进入施工场地，如有承包人员工或农民工、材料商等聚众闹事阻挠发包人进场施工，因此造成的损失和法律后果与责任全部由承包人承担。承包人必须在前述事件发生后 7 日内按合同价或结算价（以价高者为准）的 15％另向发包人支付施工场地移交延误的违约金，违约金累计，上不封顶。发包人根据现场施工安排通知承包人现场验收已完工工程并核对工程量，承包人不予配合或未在发包人通知的时间签字确认工程量的，以发包人验收结果与发包人现场核对的工程量为准。已完成的工程质量不合格的，承包人应当完成全部整改并承担修复费用，承包人在发包人提出的合理时限内仍拒不整改的，发包人可委托第三方单位实施，相关所有费用在承包人结算款中扣除。由此导致工期延误的，按照合同中有关工期延误的违约责任条款执行。</w:t>
      </w:r>
    </w:p>
    <w:p>
      <w:pPr>
        <w:pStyle w:val="78"/>
        <w:spacing w:line="360" w:lineRule="auto"/>
        <w:rPr>
          <w:color w:val="auto"/>
          <w:highlight w:val="none"/>
        </w:rPr>
      </w:pPr>
      <w:r>
        <w:rPr>
          <w:rFonts w:hint="eastAsia"/>
          <w:color w:val="auto"/>
          <w:highlight w:val="none"/>
        </w:rPr>
        <w:t>(4)</w:t>
      </w:r>
      <w:r>
        <w:rPr>
          <w:rFonts w:hint="eastAsia"/>
          <w:color w:val="auto"/>
          <w:highlight w:val="none"/>
        </w:rPr>
        <w:tab/>
      </w:r>
      <w:r>
        <w:rPr>
          <w:rFonts w:hint="eastAsia"/>
          <w:color w:val="auto"/>
          <w:highlight w:val="none"/>
        </w:rPr>
        <w:t>发包人解除本合同后无须向承包人支付任何款项。由解除合同所引起对发包人的任何直接损失的金额，承包人同意按本合同第21.1.2条款（1）项规定，发包人于被邀请的单位专业承包工程竣工结算完毕60天内核实准确后据实扣除。如该等金额加在解除合同日期前已向承包人支付的款项内，超过根据本合同按工程进度应支付给承包人的总额(包括已付款而尚未用于工程的材料或设备等)，其差额应为承包人应付给发包人的债务。</w:t>
      </w:r>
    </w:p>
    <w:p>
      <w:pPr>
        <w:pStyle w:val="78"/>
        <w:spacing w:line="360" w:lineRule="auto"/>
        <w:rPr>
          <w:color w:val="auto"/>
          <w:highlight w:val="none"/>
        </w:rPr>
      </w:pPr>
      <w:r>
        <w:rPr>
          <w:rFonts w:hint="eastAsia"/>
          <w:color w:val="auto"/>
          <w:highlight w:val="none"/>
        </w:rPr>
        <w:t>（5）承包人应自合同解除之日起30 天内向发包人提交经发包人审核确认的合格工程量部分的完整的结算资料，未按时提交结算资料或提交结算资料后未在发包人限定的时间内按要求补充、修改资料的，发包人有权不予支付工程价款。质量保证金扣留、退还属于合同的清理和结算条款，合同解除后，承包人仍应对其施工的工程承担缺陷保证责任与保修责任，发包人有权扣留 3%的结算款作为质量保证金，保修期与缺陷责任期自工程验收合格、双方完成工程款结算及资料移交之日起算。</w:t>
      </w:r>
    </w:p>
    <w:p>
      <w:pPr>
        <w:pStyle w:val="78"/>
        <w:spacing w:line="360" w:lineRule="auto"/>
        <w:rPr>
          <w:color w:val="auto"/>
          <w:highlight w:val="none"/>
        </w:rPr>
      </w:pPr>
      <w:r>
        <w:rPr>
          <w:rFonts w:hint="eastAsia"/>
          <w:color w:val="auto"/>
          <w:highlight w:val="none"/>
        </w:rPr>
        <w:t>24.1.3在解除合同14天内承包人须及时退还本合同相关的所有文件、图纸和资料给发包人。</w:t>
      </w:r>
    </w:p>
    <w:p>
      <w:pPr>
        <w:pStyle w:val="78"/>
        <w:spacing w:line="360" w:lineRule="auto"/>
        <w:rPr>
          <w:color w:val="auto"/>
          <w:highlight w:val="none"/>
        </w:rPr>
      </w:pPr>
      <w:r>
        <w:rPr>
          <w:rFonts w:hint="eastAsia"/>
          <w:color w:val="auto"/>
          <w:highlight w:val="none"/>
        </w:rPr>
        <w:t>24.1.4施工合同约定承包人应向发包人支付的任何款项，发包人均可从应付承包人的合同款项中直接扣除，包括但不限于发包人有权从未付工程款或履约担保中直接扣除承包人应承担的违约金、赔偿金或其他费用。因承包人违反合同约定产生的任何法律纠纷，致使发包人被起诉的，承包人应向发包人支付诉讼请求标的金额 20%的违约金。发包人因参与此等诉讼、仲裁产生的任何费用，包括但不限于诉讼费、仲裁费、律师费、执行费、公证费、交通费、咨询费、鉴定费、保全费、财产保全保险费、银行账户被冻结的损失等全部费用与损失，均由承包人承担。如裁判机关判令发包人承担连带责任或者补充清偿责任导致 发包人先行垫付的，应当由承包人全额赔偿，承包人还应向发包人支付垫付金额 20%的违约金。</w:t>
      </w:r>
    </w:p>
    <w:p>
      <w:pPr>
        <w:pStyle w:val="78"/>
        <w:spacing w:line="360" w:lineRule="auto"/>
        <w:rPr>
          <w:color w:val="auto"/>
          <w:highlight w:val="none"/>
        </w:rPr>
      </w:pPr>
      <w:r>
        <w:rPr>
          <w:rFonts w:hint="eastAsia"/>
          <w:color w:val="auto"/>
          <w:highlight w:val="none"/>
        </w:rPr>
        <w:t>承包人违约时，如承包人支付给发包人的违约金不足以弥补发包人全部损失的，承包人还应就不足部分进行赔偿。全部损失包括但不限于发包人的直接损失、间接损失、仲裁、诉讼或与之有关的一切费用，包括但不限于诉讼费、仲裁费、律师费、执行费、公证费、交通费、咨询费、鉴定费、保全费、财产保全保险费、银行账户被冻结的损失，以及工程项目延误的损失、资金占用损失、重新组织招标的损失和其他开支等。</w:t>
      </w:r>
    </w:p>
    <w:p>
      <w:pPr>
        <w:pStyle w:val="78"/>
        <w:spacing w:line="360" w:lineRule="auto"/>
        <w:rPr>
          <w:color w:val="auto"/>
          <w:highlight w:val="none"/>
        </w:rPr>
      </w:pPr>
      <w:r>
        <w:rPr>
          <w:rFonts w:hint="eastAsia"/>
          <w:color w:val="auto"/>
          <w:highlight w:val="none"/>
        </w:rPr>
        <w:t xml:space="preserve">    24.1.5施工期间发生生产安全责任事故，承包人依照《中华人民共和国安全生产法》《建设工程安全生产管理条例》（国务院令第 393 号）等安全生产相关法律法规承担责任与赔偿损失外，还应当承担以下违约责任：发生一般事故，承包人向发包人支付  【10】万元/次的违约金；发生较大事故，承包人向发包人支付【20】万元/次的违约金；发生重大事故，承包人向发包人支付【40】万/次的违约金；发生特别重大事故，承包人向发包人支付 【80】 万/次的违约金。同时，发包人有权并报请主管部门认定不良行为。事故等级的界定按照《生产安全事故报告和处理条例》（国务院令第 493 号）、《生产安全事故信息报告和处置办法》（国家安全生产监督管理总局令第 21 号）执行。</w:t>
      </w:r>
    </w:p>
    <w:p>
      <w:pPr>
        <w:pStyle w:val="78"/>
        <w:spacing w:line="360" w:lineRule="auto"/>
        <w:rPr>
          <w:color w:val="auto"/>
          <w:highlight w:val="none"/>
        </w:rPr>
      </w:pPr>
      <w:r>
        <w:rPr>
          <w:rFonts w:hint="eastAsia"/>
          <w:color w:val="auto"/>
          <w:highlight w:val="none"/>
        </w:rPr>
        <w:t>施工期间发生安全事件造成人员轻伤的，发包人有权要求承包人另外支付安全违约金 【2】 万元/人次，造成人员重伤的，承包人需支付安全违约金【10】万元/人次，造成人员死亡的，承包人需支付安全违约金 【20】万元/人次。发生事故隐瞒不报的，按前述标准加倍扣收。死亡、重伤和轻伤的界定按照《企业职工伤亡事故分类标准》GB6441—86 执行。如构成生产安全事故的，还应按本条第一款承担违约责任。</w:t>
      </w:r>
    </w:p>
    <w:p>
      <w:pPr>
        <w:pStyle w:val="78"/>
        <w:spacing w:line="360" w:lineRule="auto"/>
        <w:rPr>
          <w:color w:val="auto"/>
          <w:highlight w:val="none"/>
        </w:rPr>
      </w:pPr>
      <w:r>
        <w:rPr>
          <w:rFonts w:hint="eastAsia"/>
          <w:color w:val="auto"/>
          <w:highlight w:val="none"/>
        </w:rPr>
        <w:t>因发生生产安全事故、涉险事故或产生事故隐患，被媒体传播造成严重社会负面影响，或导致发包人及其上级单位被政府有关部门通报、约谈、批评或函告警示的，以及因施工不当被有关部门责令停工等情形对发包人造成严重不利 影响的，承包人应支付违约金 【10】万元/次。承包人发生重大及以上生产安全事故，或发生 2 次较大生产安全事故，或一年内发生 3 次生产安全事故，或出现第三款情形的，发包人有权选择全部或部分解除合同。合同解除不免除承包人继续依法妥善处理已发生违约情形的责任。</w:t>
      </w:r>
    </w:p>
    <w:p>
      <w:pPr>
        <w:pStyle w:val="78"/>
        <w:spacing w:line="360" w:lineRule="auto"/>
        <w:rPr>
          <w:color w:val="auto"/>
          <w:highlight w:val="none"/>
        </w:rPr>
      </w:pPr>
      <w:r>
        <w:rPr>
          <w:rFonts w:hint="eastAsia"/>
          <w:color w:val="auto"/>
          <w:highlight w:val="none"/>
        </w:rPr>
        <w:t>24.1.6因承包人或分包单位违约或侵害第三方权益，包括但不限于承包人或分包单位未按时支付人员工资、劳务费用、材料设备款项，发生安全责任事故，邻近设施受损等原因，出现承包人、分包人或第三方投诉、罢工、集会、游行、示威、闹事、集聚、围阻发包人或发包人股东、上级主管单位的办公地点或者政府办公部门等情形的，发包人有权要求承包人支付违约金 【10】 万元/次。如上述行为在新闻、报纸等媒体（介）传播或被政府部门通报、批评的，发包人有权要求承包人支付违约金 【10】 万元/次。发包人有权视情况选择全部或部分 解除合同。</w:t>
      </w:r>
    </w:p>
    <w:p>
      <w:pPr>
        <w:pStyle w:val="78"/>
        <w:spacing w:line="360" w:lineRule="auto"/>
        <w:rPr>
          <w:color w:val="auto"/>
          <w:highlight w:val="none"/>
        </w:rPr>
      </w:pPr>
      <w:r>
        <w:rPr>
          <w:rFonts w:hint="eastAsia"/>
          <w:color w:val="auto"/>
          <w:highlight w:val="none"/>
        </w:rPr>
        <w:t>24.1.7承包人同意遵守以下约定：</w:t>
      </w:r>
    </w:p>
    <w:p>
      <w:pPr>
        <w:pStyle w:val="78"/>
        <w:spacing w:line="360" w:lineRule="auto"/>
        <w:rPr>
          <w:color w:val="auto"/>
          <w:highlight w:val="none"/>
        </w:rPr>
      </w:pPr>
      <w:r>
        <w:rPr>
          <w:rFonts w:hint="eastAsia"/>
          <w:color w:val="auto"/>
          <w:highlight w:val="none"/>
        </w:rPr>
        <w:t>（1）承包人承诺遵守发包人已制定或修订的项目管理规定和要求；</w:t>
      </w:r>
    </w:p>
    <w:p>
      <w:pPr>
        <w:pStyle w:val="78"/>
        <w:spacing w:line="360" w:lineRule="auto"/>
        <w:rPr>
          <w:color w:val="auto"/>
          <w:highlight w:val="none"/>
        </w:rPr>
      </w:pPr>
      <w:r>
        <w:rPr>
          <w:rFonts w:hint="eastAsia"/>
          <w:color w:val="auto"/>
          <w:highlight w:val="none"/>
        </w:rPr>
        <w:t>（2）发包人可将本合同承包人履约情况及时通报上级单位广东粤海控股集团有限公司（下称“粤海集团”）。粤海集团有权对承包人的履约情况进行评价（含扣分处理），有权对粤海集团系内承包商进行统筹考核排名并在粤海集团及其下属公司范围内进行公示；</w:t>
      </w:r>
    </w:p>
    <w:p>
      <w:pPr>
        <w:pStyle w:val="78"/>
        <w:spacing w:line="360" w:lineRule="auto"/>
        <w:rPr>
          <w:color w:val="auto"/>
          <w:highlight w:val="none"/>
        </w:rPr>
      </w:pPr>
      <w:r>
        <w:rPr>
          <w:rFonts w:hint="eastAsia"/>
          <w:color w:val="auto"/>
          <w:highlight w:val="none"/>
        </w:rPr>
        <w:t>（3）发包人可将承包人拒不履行合同、不诚信行为或廉洁问题等情况向信用评级机构以及行业主管部门等披露 或报送；</w:t>
      </w:r>
    </w:p>
    <w:p>
      <w:pPr>
        <w:pStyle w:val="78"/>
        <w:spacing w:line="360" w:lineRule="auto"/>
        <w:rPr>
          <w:color w:val="auto"/>
          <w:highlight w:val="none"/>
        </w:rPr>
      </w:pPr>
      <w:r>
        <w:rPr>
          <w:rFonts w:hint="eastAsia"/>
          <w:color w:val="auto"/>
          <w:highlight w:val="none"/>
        </w:rPr>
        <w:t xml:space="preserve">    （4）承包人承诺参加粤海集团及其下属公司招标采购项目时，能够如实披露其在粤海集团系内过往履约、评分情况，并接受发包人及粤海集团制定的招标评分规则中对应的扣分规定【注：除行业主管部门明确要求以外，各公司应将《广东粤海控股集团有限公司工程建设承包商安全生产不 良行为管理办法》《广东粤海控股集团有限公司工程项目承包商信用评价管理办法》等制度规定的情形，列入招标评审的扣分项】。</w:t>
      </w:r>
    </w:p>
    <w:p>
      <w:pPr>
        <w:pStyle w:val="78"/>
        <w:spacing w:line="360" w:lineRule="auto"/>
        <w:outlineLvl w:val="1"/>
        <w:rPr>
          <w:color w:val="auto"/>
          <w:highlight w:val="none"/>
        </w:rPr>
      </w:pPr>
      <w:r>
        <w:rPr>
          <w:rFonts w:hint="eastAsia"/>
          <w:color w:val="auto"/>
          <w:highlight w:val="none"/>
        </w:rPr>
        <w:t>24.2承包人解除合同</w:t>
      </w:r>
    </w:p>
    <w:p>
      <w:pPr>
        <w:pStyle w:val="78"/>
        <w:spacing w:line="360" w:lineRule="auto"/>
        <w:rPr>
          <w:color w:val="auto"/>
          <w:highlight w:val="none"/>
        </w:rPr>
      </w:pPr>
      <w:r>
        <w:rPr>
          <w:rFonts w:hint="eastAsia"/>
          <w:color w:val="auto"/>
          <w:highlight w:val="none"/>
        </w:rPr>
        <w:t>承包人有以下任何一项或多项时，承包人有权解除本合同，但应在发出解除合同通知15天前告知发包人：</w:t>
      </w:r>
    </w:p>
    <w:p>
      <w:pPr>
        <w:pStyle w:val="78"/>
        <w:spacing w:line="360" w:lineRule="auto"/>
        <w:rPr>
          <w:color w:val="auto"/>
          <w:highlight w:val="none"/>
        </w:rPr>
      </w:pPr>
      <w:r>
        <w:rPr>
          <w:rFonts w:hint="eastAsia"/>
          <w:color w:val="auto"/>
          <w:highlight w:val="none"/>
        </w:rPr>
        <w:t>（1）因发包人原因，超过付款宽限期60天，承包人仍未付工程款的；</w:t>
      </w:r>
    </w:p>
    <w:p>
      <w:pPr>
        <w:pStyle w:val="78"/>
        <w:spacing w:line="360" w:lineRule="auto"/>
        <w:rPr>
          <w:color w:val="auto"/>
          <w:highlight w:val="none"/>
        </w:rPr>
      </w:pPr>
      <w:r>
        <w:rPr>
          <w:rFonts w:hint="eastAsia"/>
          <w:color w:val="auto"/>
          <w:highlight w:val="none"/>
        </w:rPr>
        <w:t>（2）发包人破产、停业清理或进入清算程序、或情况表明发包人将进入破产和（或）清算程序的。</w:t>
      </w:r>
    </w:p>
    <w:bookmarkEnd w:id="234"/>
    <w:p>
      <w:pPr>
        <w:pStyle w:val="78"/>
        <w:rPr>
          <w:color w:val="auto"/>
          <w:highlight w:val="none"/>
        </w:rPr>
      </w:pPr>
      <w:r>
        <w:rPr>
          <w:color w:val="auto"/>
          <w:highlight w:val="none"/>
        </w:rPr>
        <w:br w:type="page"/>
      </w:r>
    </w:p>
    <w:p>
      <w:pPr>
        <w:adjustRightInd w:val="0"/>
        <w:snapToGrid w:val="0"/>
        <w:spacing w:line="360" w:lineRule="auto"/>
        <w:jc w:val="center"/>
        <w:rPr>
          <w:rFonts w:ascii="宋体" w:hAnsi="宋体"/>
          <w:b/>
          <w:color w:val="auto"/>
          <w:w w:val="90"/>
          <w:sz w:val="32"/>
          <w:szCs w:val="32"/>
          <w:highlight w:val="none"/>
        </w:rPr>
      </w:pPr>
      <w:r>
        <w:rPr>
          <w:rFonts w:hint="eastAsia" w:ascii="宋体" w:hAnsi="宋体"/>
          <w:b/>
          <w:color w:val="auto"/>
          <w:w w:val="90"/>
          <w:sz w:val="32"/>
          <w:szCs w:val="32"/>
          <w:highlight w:val="none"/>
        </w:rPr>
        <w:t>合同附件</w:t>
      </w:r>
    </w:p>
    <w:p>
      <w:pPr>
        <w:adjustRightInd w:val="0"/>
        <w:snapToGrid w:val="0"/>
        <w:spacing w:line="360" w:lineRule="auto"/>
        <w:rPr>
          <w:rFonts w:ascii="宋体" w:hAnsi="宋体"/>
          <w:color w:val="auto"/>
          <w:highlight w:val="none"/>
        </w:rPr>
      </w:pPr>
      <w:r>
        <w:rPr>
          <w:rFonts w:hint="eastAsia" w:ascii="宋体" w:hAnsi="宋体"/>
          <w:color w:val="auto"/>
          <w:highlight w:val="none"/>
        </w:rPr>
        <w:t>附件</w:t>
      </w:r>
      <w:r>
        <w:rPr>
          <w:rFonts w:ascii="宋体" w:hAnsi="宋体"/>
          <w:color w:val="auto"/>
          <w:highlight w:val="none"/>
        </w:rPr>
        <w:t>1</w:t>
      </w:r>
      <w:r>
        <w:rPr>
          <w:rFonts w:hint="eastAsia" w:ascii="宋体" w:hAnsi="宋体"/>
          <w:color w:val="auto"/>
          <w:highlight w:val="none"/>
        </w:rPr>
        <w:t>合同范围及边界</w:t>
      </w:r>
    </w:p>
    <w:p>
      <w:pPr>
        <w:adjustRightInd w:val="0"/>
        <w:snapToGrid w:val="0"/>
        <w:spacing w:line="360" w:lineRule="auto"/>
        <w:rPr>
          <w:rFonts w:ascii="宋体" w:hAnsi="宋体"/>
          <w:color w:val="auto"/>
          <w:highlight w:val="none"/>
        </w:rPr>
      </w:pPr>
      <w:r>
        <w:rPr>
          <w:rFonts w:hint="eastAsia" w:ascii="宋体" w:hAnsi="宋体"/>
          <w:color w:val="auto"/>
          <w:highlight w:val="none"/>
        </w:rPr>
        <w:t>附件</w:t>
      </w:r>
      <w:r>
        <w:rPr>
          <w:rFonts w:ascii="宋体" w:hAnsi="宋体"/>
          <w:color w:val="auto"/>
          <w:highlight w:val="none"/>
        </w:rPr>
        <w:t>2</w:t>
      </w:r>
      <w:r>
        <w:rPr>
          <w:rFonts w:hint="eastAsia" w:ascii="宋体" w:hAnsi="宋体"/>
          <w:color w:val="auto"/>
          <w:highlight w:val="none"/>
        </w:rPr>
        <w:t>施工技术要求（另册）</w:t>
      </w:r>
    </w:p>
    <w:p>
      <w:pPr>
        <w:adjustRightInd w:val="0"/>
        <w:snapToGrid w:val="0"/>
        <w:spacing w:line="360" w:lineRule="auto"/>
        <w:rPr>
          <w:rFonts w:ascii="宋体" w:hAnsi="宋体"/>
          <w:color w:val="auto"/>
          <w:highlight w:val="none"/>
        </w:rPr>
      </w:pPr>
      <w:r>
        <w:rPr>
          <w:rFonts w:hint="eastAsia" w:ascii="宋体" w:hAnsi="宋体"/>
          <w:color w:val="auto"/>
          <w:highlight w:val="none"/>
        </w:rPr>
        <w:t>附件</w:t>
      </w:r>
      <w:r>
        <w:rPr>
          <w:rFonts w:ascii="宋体" w:hAnsi="宋体"/>
          <w:color w:val="auto"/>
          <w:highlight w:val="none"/>
        </w:rPr>
        <w:t>3</w:t>
      </w:r>
      <w:r>
        <w:rPr>
          <w:rFonts w:hint="eastAsia" w:ascii="宋体" w:hAnsi="宋体"/>
          <w:color w:val="auto"/>
          <w:highlight w:val="none"/>
        </w:rPr>
        <w:t>履约保函（格式）</w:t>
      </w:r>
    </w:p>
    <w:p>
      <w:pPr>
        <w:adjustRightInd w:val="0"/>
        <w:snapToGrid w:val="0"/>
        <w:spacing w:line="360" w:lineRule="auto"/>
        <w:rPr>
          <w:rFonts w:ascii="宋体" w:hAnsi="宋体"/>
          <w:color w:val="auto"/>
          <w:highlight w:val="none"/>
        </w:rPr>
      </w:pPr>
      <w:r>
        <w:rPr>
          <w:rFonts w:hint="eastAsia" w:ascii="宋体" w:hAnsi="宋体"/>
          <w:color w:val="auto"/>
          <w:highlight w:val="none"/>
        </w:rPr>
        <w:t>附件4工程质量保修书</w:t>
      </w:r>
    </w:p>
    <w:p>
      <w:pPr>
        <w:adjustRightInd w:val="0"/>
        <w:snapToGrid w:val="0"/>
        <w:spacing w:line="360" w:lineRule="auto"/>
        <w:rPr>
          <w:rFonts w:ascii="宋体" w:hAnsi="宋体"/>
          <w:color w:val="auto"/>
          <w:highlight w:val="none"/>
        </w:rPr>
      </w:pPr>
      <w:r>
        <w:rPr>
          <w:rFonts w:hint="eastAsia" w:ascii="宋体" w:hAnsi="宋体"/>
          <w:color w:val="auto"/>
          <w:highlight w:val="none"/>
        </w:rPr>
        <w:t>附件5工程建设项目廉政责任书</w:t>
      </w:r>
    </w:p>
    <w:p>
      <w:pPr>
        <w:adjustRightInd w:val="0"/>
        <w:snapToGrid w:val="0"/>
        <w:spacing w:line="360" w:lineRule="auto"/>
        <w:rPr>
          <w:rFonts w:ascii="宋体" w:hAnsi="宋体"/>
          <w:color w:val="auto"/>
          <w:highlight w:val="none"/>
        </w:rPr>
      </w:pPr>
      <w:r>
        <w:rPr>
          <w:rFonts w:hint="eastAsia" w:ascii="宋体" w:hAnsi="宋体"/>
          <w:color w:val="auto"/>
          <w:highlight w:val="none"/>
        </w:rPr>
        <w:t>附件6拟投入本项目人员（按投标文件）</w:t>
      </w:r>
    </w:p>
    <w:p>
      <w:pPr>
        <w:adjustRightInd w:val="0"/>
        <w:snapToGrid w:val="0"/>
        <w:spacing w:line="360" w:lineRule="auto"/>
        <w:rPr>
          <w:rFonts w:ascii="宋体" w:hAnsi="宋体"/>
          <w:color w:val="auto"/>
          <w:highlight w:val="none"/>
        </w:rPr>
      </w:pPr>
      <w:r>
        <w:rPr>
          <w:rFonts w:hint="eastAsia" w:ascii="宋体" w:hAnsi="宋体"/>
          <w:color w:val="auto"/>
          <w:highlight w:val="none"/>
        </w:rPr>
        <w:t>附件7 报价工程量清单（另册）</w:t>
      </w:r>
    </w:p>
    <w:p>
      <w:pPr>
        <w:adjustRightInd w:val="0"/>
        <w:snapToGrid w:val="0"/>
        <w:spacing w:line="360" w:lineRule="auto"/>
        <w:rPr>
          <w:rFonts w:ascii="宋体" w:hAnsi="宋体"/>
          <w:color w:val="auto"/>
          <w:highlight w:val="none"/>
        </w:rPr>
      </w:pPr>
      <w:r>
        <w:rPr>
          <w:rFonts w:hint="eastAsia" w:ascii="宋体" w:hAnsi="宋体"/>
          <w:color w:val="auto"/>
          <w:highlight w:val="none"/>
        </w:rPr>
        <w:t>附件8 图纸目录（另册）</w:t>
      </w:r>
    </w:p>
    <w:p>
      <w:pPr>
        <w:pStyle w:val="15"/>
        <w:rPr>
          <w:color w:val="auto"/>
          <w:highlight w:val="none"/>
        </w:rPr>
      </w:pPr>
    </w:p>
    <w:p>
      <w:pPr>
        <w:pStyle w:val="5"/>
        <w:rPr>
          <w:color w:val="auto"/>
          <w:highlight w:val="none"/>
        </w:rPr>
        <w:sectPr>
          <w:headerReference r:id="rId10" w:type="default"/>
          <w:pgSz w:w="11909" w:h="16834"/>
          <w:pgMar w:top="1418" w:right="1134" w:bottom="1418" w:left="1247" w:header="851" w:footer="851" w:gutter="0"/>
          <w:cols w:space="720" w:num="1"/>
          <w:docGrid w:type="lines" w:linePitch="312" w:charSpace="0"/>
        </w:sectPr>
      </w:pPr>
      <w:r>
        <w:rPr>
          <w:color w:val="auto"/>
          <w:highlight w:val="none"/>
        </w:rPr>
        <w:br w:type="page"/>
      </w:r>
    </w:p>
    <w:p>
      <w:pPr>
        <w:pStyle w:val="5"/>
        <w:rPr>
          <w:color w:val="auto"/>
          <w:sz w:val="21"/>
          <w:szCs w:val="21"/>
          <w:highlight w:val="none"/>
        </w:rPr>
      </w:pPr>
      <w:bookmarkStart w:id="484" w:name="_Toc133502217"/>
      <w:bookmarkStart w:id="485" w:name="_Toc33448493"/>
      <w:r>
        <w:rPr>
          <w:rFonts w:hint="eastAsia"/>
          <w:color w:val="auto"/>
          <w:sz w:val="21"/>
          <w:szCs w:val="21"/>
          <w:highlight w:val="none"/>
        </w:rPr>
        <w:t>附件</w:t>
      </w:r>
      <w:r>
        <w:rPr>
          <w:color w:val="auto"/>
          <w:sz w:val="21"/>
          <w:szCs w:val="21"/>
          <w:highlight w:val="none"/>
        </w:rPr>
        <w:t>1:</w:t>
      </w:r>
      <w:r>
        <w:rPr>
          <w:rFonts w:hint="eastAsia"/>
          <w:color w:val="auto"/>
          <w:sz w:val="21"/>
          <w:szCs w:val="21"/>
          <w:highlight w:val="none"/>
        </w:rPr>
        <w:t xml:space="preserve"> 合同范围及边界</w:t>
      </w:r>
      <w:bookmarkEnd w:id="484"/>
      <w:bookmarkEnd w:id="485"/>
    </w:p>
    <w:p>
      <w:pPr>
        <w:jc w:val="center"/>
        <w:rPr>
          <w:rFonts w:ascii="宋体" w:hAnsi="宋体"/>
          <w:b/>
          <w:color w:val="auto"/>
          <w:sz w:val="32"/>
          <w:szCs w:val="32"/>
          <w:highlight w:val="none"/>
        </w:rPr>
      </w:pPr>
      <w:bookmarkStart w:id="486" w:name="_Toc223465311"/>
      <w:r>
        <w:rPr>
          <w:rFonts w:hint="eastAsia" w:ascii="宋体" w:hAnsi="宋体"/>
          <w:b/>
          <w:color w:val="auto"/>
          <w:sz w:val="32"/>
          <w:szCs w:val="32"/>
          <w:highlight w:val="none"/>
        </w:rPr>
        <w:t>合同范围及边界</w:t>
      </w:r>
      <w:bookmarkEnd w:id="486"/>
    </w:p>
    <w:tbl>
      <w:tblPr>
        <w:tblStyle w:val="41"/>
        <w:tblW w:w="11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2"/>
        <w:gridCol w:w="2707"/>
        <w:gridCol w:w="2456"/>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2"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部位</w:t>
            </w:r>
          </w:p>
        </w:tc>
        <w:tc>
          <w:tcPr>
            <w:tcW w:w="2707"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总包范围</w:t>
            </w:r>
          </w:p>
        </w:tc>
        <w:tc>
          <w:tcPr>
            <w:tcW w:w="2456"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园林专业分包范围</w:t>
            </w:r>
          </w:p>
        </w:tc>
        <w:tc>
          <w:tcPr>
            <w:tcW w:w="2440" w:type="dxa"/>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装修专业分包范围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2"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土建</w:t>
            </w:r>
          </w:p>
        </w:tc>
        <w:tc>
          <w:tcPr>
            <w:tcW w:w="2707"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完成地下室顶板、防水、保护层、疏水板及土工布等回填土以下建筑做法部分</w:t>
            </w:r>
          </w:p>
        </w:tc>
        <w:tc>
          <w:tcPr>
            <w:tcW w:w="2456"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w:t>
            </w:r>
          </w:p>
        </w:tc>
        <w:tc>
          <w:tcPr>
            <w:tcW w:w="2440" w:type="dxa"/>
            <w:vAlign w:val="center"/>
          </w:tcPr>
          <w:p>
            <w:pPr>
              <w:pStyle w:val="15"/>
              <w:ind w:firstLine="0"/>
              <w:jc w:val="center"/>
              <w:rPr>
                <w:rFonts w:cs="宋体" w:asciiTheme="minorEastAsia" w:hAnsiTheme="minorEastAsia" w:eastAsiaTheme="minorEastAsia"/>
                <w:color w:val="auto"/>
                <w:kern w:val="44"/>
                <w:szCs w:val="24"/>
                <w:highlight w:val="none"/>
              </w:rPr>
            </w:pPr>
            <w:r>
              <w:rPr>
                <w:rFonts w:cs="宋体" w:asciiTheme="minorEastAsia" w:hAnsiTheme="minorEastAsia" w:eastAsiaTheme="minorEastAsia"/>
                <w:color w:val="auto"/>
                <w:kern w:val="4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2"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园林</w:t>
            </w:r>
          </w:p>
        </w:tc>
        <w:tc>
          <w:tcPr>
            <w:tcW w:w="2707"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回填土方至园林完成面以下300mm</w:t>
            </w:r>
          </w:p>
        </w:tc>
        <w:tc>
          <w:tcPr>
            <w:tcW w:w="2456"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回填土以上300mm的种植土及植被等</w:t>
            </w:r>
          </w:p>
        </w:tc>
        <w:tc>
          <w:tcPr>
            <w:tcW w:w="2440" w:type="dxa"/>
            <w:vAlign w:val="center"/>
          </w:tcPr>
          <w:p>
            <w:pPr>
              <w:pStyle w:val="15"/>
              <w:ind w:firstLine="0"/>
              <w:jc w:val="center"/>
              <w:rPr>
                <w:rFonts w:cs="宋体" w:asciiTheme="minorEastAsia" w:hAnsiTheme="minorEastAsia" w:eastAsiaTheme="minorEastAsia"/>
                <w:color w:val="auto"/>
                <w:kern w:val="44"/>
                <w:szCs w:val="24"/>
                <w:highlight w:val="none"/>
              </w:rPr>
            </w:pPr>
            <w:r>
              <w:rPr>
                <w:rFonts w:cs="宋体" w:asciiTheme="minorEastAsia" w:hAnsiTheme="minorEastAsia" w:eastAsiaTheme="minorEastAsia"/>
                <w:color w:val="auto"/>
                <w:kern w:val="4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2"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展示区围挡</w:t>
            </w:r>
          </w:p>
        </w:tc>
        <w:tc>
          <w:tcPr>
            <w:tcW w:w="2707"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w:t>
            </w:r>
          </w:p>
        </w:tc>
        <w:tc>
          <w:tcPr>
            <w:tcW w:w="2456"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景观围挡</w:t>
            </w:r>
          </w:p>
        </w:tc>
        <w:tc>
          <w:tcPr>
            <w:tcW w:w="2440" w:type="dxa"/>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2"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人行路面、非种植区</w:t>
            </w:r>
          </w:p>
        </w:tc>
        <w:tc>
          <w:tcPr>
            <w:tcW w:w="2707"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回填土方至完成面以下300mm（不含排水沟）</w:t>
            </w:r>
          </w:p>
        </w:tc>
        <w:tc>
          <w:tcPr>
            <w:tcW w:w="2456"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回填土以上300mm的路面结构、铺装等</w:t>
            </w:r>
          </w:p>
        </w:tc>
        <w:tc>
          <w:tcPr>
            <w:tcW w:w="2440" w:type="dxa"/>
            <w:vAlign w:val="center"/>
          </w:tcPr>
          <w:p>
            <w:pPr>
              <w:pStyle w:val="15"/>
              <w:ind w:firstLine="0"/>
              <w:jc w:val="center"/>
              <w:rPr>
                <w:rFonts w:cs="宋体" w:asciiTheme="minorEastAsia" w:hAnsiTheme="minorEastAsia" w:eastAsiaTheme="minorEastAsia"/>
                <w:color w:val="auto"/>
                <w:kern w:val="44"/>
                <w:szCs w:val="24"/>
                <w:highlight w:val="none"/>
              </w:rPr>
            </w:pPr>
            <w:r>
              <w:rPr>
                <w:rFonts w:cs="宋体" w:asciiTheme="minorEastAsia" w:hAnsiTheme="minorEastAsia" w:eastAsiaTheme="minorEastAsia"/>
                <w:color w:val="auto"/>
                <w:kern w:val="4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2"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台阶</w:t>
            </w:r>
          </w:p>
        </w:tc>
        <w:tc>
          <w:tcPr>
            <w:tcW w:w="2707"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回填土方至垫层底</w:t>
            </w:r>
          </w:p>
        </w:tc>
        <w:tc>
          <w:tcPr>
            <w:tcW w:w="2456"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回填土以上的台阶结构、铺装等</w:t>
            </w:r>
          </w:p>
        </w:tc>
        <w:tc>
          <w:tcPr>
            <w:tcW w:w="2440" w:type="dxa"/>
            <w:vAlign w:val="center"/>
          </w:tcPr>
          <w:p>
            <w:pPr>
              <w:pStyle w:val="15"/>
              <w:ind w:firstLine="0"/>
              <w:jc w:val="center"/>
              <w:rPr>
                <w:rFonts w:cs="宋体" w:asciiTheme="minorEastAsia" w:hAnsiTheme="minorEastAsia" w:eastAsiaTheme="minorEastAsia"/>
                <w:color w:val="auto"/>
                <w:kern w:val="44"/>
                <w:szCs w:val="24"/>
                <w:highlight w:val="none"/>
              </w:rPr>
            </w:pPr>
            <w:r>
              <w:rPr>
                <w:rFonts w:cs="宋体" w:asciiTheme="minorEastAsia" w:hAnsiTheme="minorEastAsia" w:eastAsiaTheme="minorEastAsia"/>
                <w:color w:val="auto"/>
                <w:kern w:val="4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2"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停车场、车行道</w:t>
            </w:r>
          </w:p>
        </w:tc>
        <w:tc>
          <w:tcPr>
            <w:tcW w:w="2707"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回填土方至完成面以下300mm（不含排水沟）</w:t>
            </w:r>
          </w:p>
        </w:tc>
        <w:tc>
          <w:tcPr>
            <w:tcW w:w="2456"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回填土以上的路面结构、铺装、画线等</w:t>
            </w:r>
          </w:p>
        </w:tc>
        <w:tc>
          <w:tcPr>
            <w:tcW w:w="2440" w:type="dxa"/>
            <w:vAlign w:val="center"/>
          </w:tcPr>
          <w:p>
            <w:pPr>
              <w:pStyle w:val="15"/>
              <w:ind w:firstLine="0"/>
              <w:jc w:val="center"/>
              <w:rPr>
                <w:rFonts w:cs="宋体" w:asciiTheme="minorEastAsia" w:hAnsiTheme="minorEastAsia" w:eastAsiaTheme="minorEastAsia"/>
                <w:color w:val="auto"/>
                <w:kern w:val="44"/>
                <w:szCs w:val="24"/>
                <w:highlight w:val="none"/>
              </w:rPr>
            </w:pPr>
            <w:r>
              <w:rPr>
                <w:rFonts w:cs="宋体" w:asciiTheme="minorEastAsia" w:hAnsiTheme="minorEastAsia" w:eastAsiaTheme="minorEastAsia"/>
                <w:color w:val="auto"/>
                <w:kern w:val="4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2"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配电</w:t>
            </w:r>
          </w:p>
        </w:tc>
        <w:tc>
          <w:tcPr>
            <w:tcW w:w="2707"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w:t>
            </w:r>
          </w:p>
        </w:tc>
        <w:tc>
          <w:tcPr>
            <w:tcW w:w="2456"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从上级配电箱接线至园林配电箱控制箱至末端点位（含控制箱、灯具变压箱、电线电缆等），灯具及灯基础的安装；配合标识安装点位预留电源</w:t>
            </w:r>
          </w:p>
        </w:tc>
        <w:tc>
          <w:tcPr>
            <w:tcW w:w="2440" w:type="dxa"/>
            <w:vAlign w:val="center"/>
          </w:tcPr>
          <w:p>
            <w:pPr>
              <w:pStyle w:val="15"/>
              <w:ind w:firstLine="0"/>
              <w:jc w:val="center"/>
              <w:rPr>
                <w:rFonts w:cs="宋体" w:asciiTheme="minorEastAsia" w:hAnsiTheme="minorEastAsia" w:eastAsiaTheme="minorEastAsia"/>
                <w:color w:val="auto"/>
                <w:kern w:val="44"/>
                <w:szCs w:val="24"/>
                <w:highlight w:val="none"/>
              </w:rPr>
            </w:pPr>
            <w:r>
              <w:rPr>
                <w:rFonts w:cs="宋体" w:asciiTheme="minorEastAsia" w:hAnsiTheme="minorEastAsia" w:eastAsiaTheme="minorEastAsia"/>
                <w:color w:val="auto"/>
                <w:kern w:val="4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2"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给水</w:t>
            </w:r>
          </w:p>
        </w:tc>
        <w:tc>
          <w:tcPr>
            <w:tcW w:w="2707"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提供用水，并接管至绿化用水总表</w:t>
            </w:r>
          </w:p>
        </w:tc>
        <w:tc>
          <w:tcPr>
            <w:tcW w:w="2456"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cs="宋体" w:asciiTheme="minorEastAsia" w:hAnsiTheme="minorEastAsia" w:eastAsiaTheme="minorEastAsia"/>
                <w:color w:val="auto"/>
                <w:kern w:val="44"/>
                <w:szCs w:val="24"/>
                <w:highlight w:val="none"/>
              </w:rPr>
              <w:t>绿化</w:t>
            </w:r>
            <w:r>
              <w:rPr>
                <w:rFonts w:hint="eastAsia" w:cs="宋体" w:asciiTheme="minorEastAsia" w:hAnsiTheme="minorEastAsia" w:eastAsiaTheme="minorEastAsia"/>
                <w:color w:val="auto"/>
                <w:kern w:val="44"/>
                <w:szCs w:val="24"/>
                <w:highlight w:val="none"/>
              </w:rPr>
              <w:t>用水总表表后接管，引至绿化给水主干管及用水末端器具的安装，含总表安装、表井砌筑</w:t>
            </w:r>
          </w:p>
        </w:tc>
        <w:tc>
          <w:tcPr>
            <w:tcW w:w="2440" w:type="dxa"/>
            <w:vAlign w:val="center"/>
          </w:tcPr>
          <w:p>
            <w:pPr>
              <w:pStyle w:val="15"/>
              <w:ind w:firstLine="0"/>
              <w:jc w:val="center"/>
              <w:rPr>
                <w:rFonts w:cs="宋体" w:asciiTheme="minorEastAsia" w:hAnsiTheme="minorEastAsia" w:eastAsiaTheme="minorEastAsia"/>
                <w:color w:val="auto"/>
                <w:kern w:val="44"/>
                <w:szCs w:val="24"/>
                <w:highlight w:val="none"/>
              </w:rPr>
            </w:pPr>
            <w:r>
              <w:rPr>
                <w:rFonts w:cs="宋体" w:asciiTheme="minorEastAsia" w:hAnsiTheme="minorEastAsia" w:eastAsiaTheme="minorEastAsia"/>
                <w:color w:val="auto"/>
                <w:kern w:val="4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2"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排水</w:t>
            </w:r>
          </w:p>
        </w:tc>
        <w:tc>
          <w:tcPr>
            <w:tcW w:w="2707"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室外综合管网施工，管道敷设、管井砌筑、井盖安装</w:t>
            </w:r>
          </w:p>
        </w:tc>
        <w:tc>
          <w:tcPr>
            <w:tcW w:w="2456"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末端排水点位至室外综合管网水井接管、室外排水井装饰井盖、绿化井盖的安装</w:t>
            </w:r>
          </w:p>
        </w:tc>
        <w:tc>
          <w:tcPr>
            <w:tcW w:w="2440" w:type="dxa"/>
            <w:vAlign w:val="center"/>
          </w:tcPr>
          <w:p>
            <w:pPr>
              <w:pStyle w:val="15"/>
              <w:ind w:firstLine="0"/>
              <w:jc w:val="center"/>
              <w:rPr>
                <w:rFonts w:cs="宋体" w:asciiTheme="minorEastAsia" w:hAnsiTheme="minorEastAsia" w:eastAsiaTheme="minorEastAsia"/>
                <w:color w:val="auto"/>
                <w:kern w:val="44"/>
                <w:szCs w:val="24"/>
                <w:highlight w:val="none"/>
              </w:rPr>
            </w:pPr>
            <w:r>
              <w:rPr>
                <w:rFonts w:cs="宋体" w:asciiTheme="minorEastAsia" w:hAnsiTheme="minorEastAsia" w:eastAsiaTheme="minorEastAsia"/>
                <w:color w:val="auto"/>
                <w:kern w:val="4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2"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风雨连廊、景墙、精神堡垒</w:t>
            </w:r>
          </w:p>
        </w:tc>
        <w:tc>
          <w:tcPr>
            <w:tcW w:w="2707"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cs="宋体" w:asciiTheme="minorEastAsia" w:hAnsiTheme="minorEastAsia" w:eastAsiaTheme="minorEastAsia"/>
                <w:color w:val="auto"/>
                <w:kern w:val="44"/>
                <w:szCs w:val="24"/>
                <w:highlight w:val="none"/>
              </w:rPr>
              <w:t>/</w:t>
            </w:r>
          </w:p>
        </w:tc>
        <w:tc>
          <w:tcPr>
            <w:tcW w:w="2456" w:type="dxa"/>
            <w:shd w:val="clear" w:color="auto" w:fill="auto"/>
            <w:vAlign w:val="center"/>
          </w:tcPr>
          <w:p>
            <w:pPr>
              <w:pStyle w:val="15"/>
              <w:ind w:firstLine="0"/>
              <w:jc w:val="center"/>
              <w:rPr>
                <w:rFonts w:cs="宋体" w:asciiTheme="minorEastAsia" w:hAnsiTheme="minorEastAsia" w:eastAsiaTheme="minorEastAsia"/>
                <w:color w:val="auto"/>
                <w:kern w:val="44"/>
                <w:szCs w:val="24"/>
                <w:highlight w:val="none"/>
              </w:rPr>
            </w:pPr>
            <w:r>
              <w:rPr>
                <w:rFonts w:hint="eastAsia" w:cs="宋体" w:asciiTheme="minorEastAsia" w:hAnsiTheme="minorEastAsia" w:eastAsiaTheme="minorEastAsia"/>
                <w:color w:val="auto"/>
                <w:kern w:val="44"/>
                <w:szCs w:val="24"/>
                <w:highlight w:val="none"/>
              </w:rPr>
              <w:t>全部</w:t>
            </w:r>
          </w:p>
        </w:tc>
        <w:tc>
          <w:tcPr>
            <w:tcW w:w="2440" w:type="dxa"/>
            <w:vAlign w:val="center"/>
          </w:tcPr>
          <w:p>
            <w:pPr>
              <w:pStyle w:val="15"/>
              <w:ind w:firstLine="0"/>
              <w:jc w:val="center"/>
              <w:rPr>
                <w:rFonts w:cs="宋体" w:asciiTheme="minorEastAsia" w:hAnsiTheme="minorEastAsia" w:eastAsiaTheme="minorEastAsia"/>
                <w:color w:val="auto"/>
                <w:kern w:val="44"/>
                <w:szCs w:val="24"/>
                <w:highlight w:val="none"/>
              </w:rPr>
            </w:pPr>
            <w:r>
              <w:rPr>
                <w:rFonts w:cs="宋体" w:asciiTheme="minorEastAsia" w:hAnsiTheme="minorEastAsia" w:eastAsiaTheme="minorEastAsia"/>
                <w:color w:val="auto"/>
                <w:kern w:val="44"/>
                <w:szCs w:val="24"/>
                <w:highlight w:val="none"/>
              </w:rPr>
              <w:t>/</w:t>
            </w:r>
          </w:p>
        </w:tc>
      </w:tr>
    </w:tbl>
    <w:p>
      <w:pPr>
        <w:rPr>
          <w:color w:val="auto"/>
          <w:highlight w:val="none"/>
        </w:rPr>
        <w:sectPr>
          <w:pgSz w:w="16834" w:h="11909" w:orient="landscape"/>
          <w:pgMar w:top="1247" w:right="1418" w:bottom="1134" w:left="1418" w:header="680" w:footer="680" w:gutter="0"/>
          <w:cols w:space="720" w:num="1"/>
          <w:docGrid w:linePitch="312" w:charSpace="0"/>
        </w:sectPr>
      </w:pPr>
    </w:p>
    <w:p>
      <w:pPr>
        <w:pStyle w:val="5"/>
        <w:rPr>
          <w:color w:val="auto"/>
          <w:szCs w:val="21"/>
          <w:highlight w:val="none"/>
        </w:rPr>
      </w:pPr>
      <w:bookmarkStart w:id="487" w:name="_Toc33448494"/>
      <w:bookmarkStart w:id="488" w:name="_Toc133502218"/>
      <w:r>
        <w:rPr>
          <w:rFonts w:hint="eastAsia"/>
          <w:color w:val="auto"/>
          <w:sz w:val="21"/>
          <w:szCs w:val="21"/>
          <w:highlight w:val="none"/>
        </w:rPr>
        <w:t>附件</w:t>
      </w:r>
      <w:r>
        <w:rPr>
          <w:color w:val="auto"/>
          <w:sz w:val="21"/>
          <w:szCs w:val="21"/>
          <w:highlight w:val="none"/>
        </w:rPr>
        <w:t>2:</w:t>
      </w:r>
      <w:r>
        <w:rPr>
          <w:rFonts w:hint="eastAsia"/>
          <w:color w:val="auto"/>
          <w:sz w:val="21"/>
          <w:szCs w:val="21"/>
          <w:highlight w:val="none"/>
        </w:rPr>
        <w:t xml:space="preserve"> 施工技术要求（另册</w:t>
      </w:r>
      <w:r>
        <w:rPr>
          <w:color w:val="auto"/>
          <w:sz w:val="21"/>
          <w:szCs w:val="21"/>
          <w:highlight w:val="none"/>
        </w:rPr>
        <w:t>）</w:t>
      </w:r>
      <w:bookmarkEnd w:id="487"/>
      <w:bookmarkEnd w:id="488"/>
      <w:r>
        <w:rPr>
          <w:rFonts w:hint="eastAsia"/>
          <w:color w:val="auto"/>
          <w:szCs w:val="21"/>
          <w:highlight w:val="none"/>
        </w:rPr>
        <w:t xml:space="preserve"> </w:t>
      </w:r>
    </w:p>
    <w:p>
      <w:pPr>
        <w:adjustRightInd w:val="0"/>
        <w:snapToGrid w:val="0"/>
        <w:spacing w:line="360" w:lineRule="auto"/>
        <w:ind w:firstLine="426" w:firstLineChars="177"/>
        <w:jc w:val="center"/>
        <w:rPr>
          <w:b/>
          <w:color w:val="auto"/>
          <w:sz w:val="24"/>
          <w:highlight w:val="none"/>
        </w:rPr>
      </w:pPr>
    </w:p>
    <w:p>
      <w:pPr>
        <w:pStyle w:val="5"/>
        <w:rPr>
          <w:color w:val="auto"/>
          <w:szCs w:val="22"/>
          <w:highlight w:val="none"/>
        </w:rPr>
      </w:pPr>
      <w:r>
        <w:rPr>
          <w:color w:val="auto"/>
          <w:highlight w:val="none"/>
        </w:rPr>
        <w:br w:type="page"/>
      </w:r>
      <w:bookmarkStart w:id="489" w:name="_Toc133502219"/>
      <w:bookmarkStart w:id="490" w:name="_Toc33448496"/>
      <w:bookmarkStart w:id="491" w:name="_Toc207682702"/>
      <w:bookmarkStart w:id="492" w:name="_Toc233454089"/>
      <w:r>
        <w:rPr>
          <w:rFonts w:hint="eastAsia"/>
          <w:color w:val="auto"/>
          <w:sz w:val="21"/>
          <w:szCs w:val="21"/>
          <w:highlight w:val="none"/>
        </w:rPr>
        <w:t>附件</w:t>
      </w:r>
      <w:r>
        <w:rPr>
          <w:color w:val="auto"/>
          <w:sz w:val="21"/>
          <w:szCs w:val="21"/>
          <w:highlight w:val="none"/>
        </w:rPr>
        <w:t>3</w:t>
      </w:r>
      <w:r>
        <w:rPr>
          <w:rFonts w:hint="eastAsia"/>
          <w:color w:val="auto"/>
          <w:sz w:val="21"/>
          <w:szCs w:val="21"/>
          <w:highlight w:val="none"/>
        </w:rPr>
        <w:t>:履约保函（格式）</w:t>
      </w:r>
      <w:bookmarkEnd w:id="489"/>
      <w:bookmarkEnd w:id="490"/>
    </w:p>
    <w:bookmarkEnd w:id="491"/>
    <w:bookmarkEnd w:id="492"/>
    <w:p>
      <w:pPr>
        <w:spacing w:before="120" w:after="120"/>
        <w:jc w:val="center"/>
        <w:rPr>
          <w:rFonts w:ascii="华文仿宋" w:hAnsi="华文仿宋" w:eastAsia="华文仿宋"/>
          <w:b/>
          <w:color w:val="auto"/>
          <w:sz w:val="32"/>
          <w:szCs w:val="32"/>
          <w:highlight w:val="none"/>
        </w:rPr>
      </w:pPr>
      <w:r>
        <w:rPr>
          <w:rFonts w:hint="eastAsia" w:ascii="华文仿宋" w:hAnsi="华文仿宋" w:eastAsia="华文仿宋"/>
          <w:b/>
          <w:color w:val="auto"/>
          <w:sz w:val="32"/>
          <w:szCs w:val="32"/>
          <w:highlight w:val="none"/>
        </w:rPr>
        <w:t>履约保函</w:t>
      </w:r>
    </w:p>
    <w:p>
      <w:pPr>
        <w:wordWrap w:val="0"/>
        <w:spacing w:before="120" w:after="120"/>
        <w:jc w:val="right"/>
        <w:rPr>
          <w:rFonts w:ascii="华文仿宋" w:hAnsi="华文仿宋" w:eastAsia="华文仿宋"/>
          <w:color w:val="auto"/>
          <w:sz w:val="24"/>
          <w:highlight w:val="none"/>
        </w:rPr>
      </w:pPr>
      <w:r>
        <w:rPr>
          <w:rFonts w:hint="eastAsia" w:ascii="华文仿宋" w:hAnsi="华文仿宋" w:eastAsia="华文仿宋"/>
          <w:color w:val="auto"/>
          <w:sz w:val="24"/>
          <w:highlight w:val="none"/>
        </w:rPr>
        <w:t>签发日期：</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年</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月</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日</w:t>
      </w:r>
    </w:p>
    <w:p>
      <w:pPr>
        <w:adjustRightInd w:val="0"/>
        <w:snapToGrid w:val="0"/>
        <w:spacing w:before="120" w:beforeLines="50" w:line="360" w:lineRule="auto"/>
        <w:jc w:val="left"/>
        <w:rPr>
          <w:rFonts w:ascii="华文仿宋" w:hAnsi="华文仿宋" w:eastAsia="华文仿宋"/>
          <w:color w:val="auto"/>
          <w:sz w:val="28"/>
          <w:szCs w:val="28"/>
          <w:highlight w:val="none"/>
        </w:rPr>
      </w:pPr>
    </w:p>
    <w:p>
      <w:pPr>
        <w:adjustRightInd w:val="0"/>
        <w:snapToGrid w:val="0"/>
        <w:spacing w:before="120" w:beforeLines="50" w:line="360" w:lineRule="auto"/>
        <w:jc w:val="left"/>
        <w:rPr>
          <w:rFonts w:ascii="华文仿宋" w:hAnsi="华文仿宋" w:eastAsia="华文仿宋"/>
          <w:color w:val="auto"/>
          <w:sz w:val="28"/>
          <w:szCs w:val="28"/>
          <w:highlight w:val="none"/>
          <w:u w:val="single"/>
        </w:rPr>
      </w:pPr>
      <w:r>
        <w:rPr>
          <w:rFonts w:hint="eastAsia" w:ascii="华文仿宋" w:hAnsi="华文仿宋" w:eastAsia="华文仿宋"/>
          <w:color w:val="auto"/>
          <w:sz w:val="28"/>
          <w:szCs w:val="28"/>
          <w:highlight w:val="none"/>
        </w:rPr>
        <w:t>致：</w:t>
      </w:r>
      <w:r>
        <w:rPr>
          <w:rFonts w:hint="eastAsia" w:ascii="华文仿宋" w:hAnsi="华文仿宋" w:eastAsia="华文仿宋"/>
          <w:color w:val="auto"/>
          <w:sz w:val="28"/>
          <w:szCs w:val="28"/>
          <w:highlight w:val="none"/>
          <w:u w:val="single"/>
        </w:rPr>
        <w:t xml:space="preserve">               </w:t>
      </w:r>
      <w:r>
        <w:rPr>
          <w:rFonts w:hint="eastAsia" w:ascii="华文仿宋" w:hAnsi="华文仿宋" w:eastAsia="华文仿宋"/>
          <w:color w:val="auto"/>
          <w:sz w:val="28"/>
          <w:szCs w:val="28"/>
          <w:highlight w:val="none"/>
        </w:rPr>
        <w:t>（以下简称“受益人”）：</w:t>
      </w:r>
    </w:p>
    <w:p>
      <w:pPr>
        <w:adjustRightInd w:val="0"/>
        <w:snapToGrid w:val="0"/>
        <w:spacing w:before="120" w:beforeLines="50" w:line="360" w:lineRule="auto"/>
        <w:ind w:firstLine="560" w:firstLineChars="200"/>
        <w:jc w:val="left"/>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鉴于</w:t>
      </w:r>
      <w:r>
        <w:rPr>
          <w:rFonts w:hint="eastAsia" w:ascii="华文仿宋" w:hAnsi="华文仿宋" w:eastAsia="华文仿宋"/>
          <w:color w:val="auto"/>
          <w:sz w:val="28"/>
          <w:szCs w:val="28"/>
          <w:highlight w:val="none"/>
          <w:u w:val="single"/>
        </w:rPr>
        <w:t xml:space="preserve">                     </w:t>
      </w:r>
      <w:r>
        <w:rPr>
          <w:rFonts w:hint="eastAsia" w:ascii="华文仿宋" w:hAnsi="华文仿宋" w:eastAsia="华文仿宋"/>
          <w:color w:val="auto"/>
          <w:sz w:val="28"/>
          <w:szCs w:val="28"/>
          <w:highlight w:val="none"/>
        </w:rPr>
        <w:t>（以下简称“被担保人”）已与受益人签订了编号为</w:t>
      </w:r>
      <w:r>
        <w:rPr>
          <w:rFonts w:hint="eastAsia" w:ascii="华文仿宋" w:hAnsi="华文仿宋" w:eastAsia="华文仿宋"/>
          <w:color w:val="auto"/>
          <w:sz w:val="28"/>
          <w:szCs w:val="28"/>
          <w:highlight w:val="none"/>
          <w:u w:val="single"/>
        </w:rPr>
        <w:t xml:space="preserve">            </w:t>
      </w:r>
      <w:r>
        <w:rPr>
          <w:rFonts w:hint="eastAsia" w:ascii="华文仿宋" w:hAnsi="华文仿宋" w:eastAsia="华文仿宋"/>
          <w:color w:val="auto"/>
          <w:sz w:val="28"/>
          <w:szCs w:val="28"/>
          <w:highlight w:val="none"/>
        </w:rPr>
        <w:t>的《</w:t>
      </w:r>
      <w:r>
        <w:rPr>
          <w:rFonts w:hint="eastAsia" w:ascii="华文仿宋" w:hAnsi="华文仿宋" w:eastAsia="华文仿宋"/>
          <w:color w:val="auto"/>
          <w:sz w:val="28"/>
          <w:szCs w:val="28"/>
          <w:highlight w:val="none"/>
          <w:u w:val="single"/>
        </w:rPr>
        <w:t xml:space="preserve"> </w:t>
      </w:r>
      <w:r>
        <w:rPr>
          <w:rFonts w:ascii="华文仿宋" w:hAnsi="华文仿宋" w:eastAsia="华文仿宋"/>
          <w:color w:val="auto"/>
          <w:sz w:val="28"/>
          <w:szCs w:val="28"/>
          <w:highlight w:val="none"/>
          <w:u w:val="single"/>
        </w:rPr>
        <w:t xml:space="preserve">        </w:t>
      </w:r>
      <w:r>
        <w:rPr>
          <w:rFonts w:hint="eastAsia" w:ascii="华文仿宋" w:hAnsi="华文仿宋" w:eastAsia="华文仿宋"/>
          <w:color w:val="auto"/>
          <w:sz w:val="28"/>
          <w:szCs w:val="28"/>
          <w:highlight w:val="none"/>
        </w:rPr>
        <w:t>》 （以下简称“合同”），金额 （大写）：人民币</w:t>
      </w:r>
      <w:r>
        <w:rPr>
          <w:rFonts w:hint="eastAsia" w:ascii="华文仿宋" w:hAnsi="华文仿宋" w:eastAsia="华文仿宋"/>
          <w:color w:val="auto"/>
          <w:sz w:val="28"/>
          <w:szCs w:val="28"/>
          <w:highlight w:val="none"/>
          <w:u w:val="single"/>
        </w:rPr>
        <w:t xml:space="preserve">             </w:t>
      </w:r>
      <w:r>
        <w:rPr>
          <w:rFonts w:hint="eastAsia" w:ascii="华文仿宋" w:hAnsi="华文仿宋" w:eastAsia="华文仿宋"/>
          <w:color w:val="auto"/>
          <w:sz w:val="28"/>
          <w:szCs w:val="28"/>
          <w:highlight w:val="none"/>
        </w:rPr>
        <w:t>元（RMB</w:t>
      </w:r>
      <w:r>
        <w:rPr>
          <w:rFonts w:hint="eastAsia" w:ascii="华文仿宋" w:hAnsi="华文仿宋" w:eastAsia="华文仿宋"/>
          <w:color w:val="auto"/>
          <w:sz w:val="28"/>
          <w:szCs w:val="28"/>
          <w:highlight w:val="none"/>
          <w:u w:val="single"/>
        </w:rPr>
        <w:t xml:space="preserve">        </w:t>
      </w:r>
      <w:r>
        <w:rPr>
          <w:rFonts w:hint="eastAsia" w:ascii="华文仿宋" w:hAnsi="华文仿宋" w:eastAsia="华文仿宋"/>
          <w:color w:val="auto"/>
          <w:sz w:val="28"/>
          <w:szCs w:val="28"/>
          <w:highlight w:val="none"/>
        </w:rPr>
        <w:t>）。我方作为保证人，在此向受益人就被担保人履行合同提供</w:t>
      </w:r>
      <w:r>
        <w:rPr>
          <w:rFonts w:hint="eastAsia" w:ascii="华文仿宋" w:hAnsi="华文仿宋" w:eastAsia="华文仿宋"/>
          <w:b/>
          <w:color w:val="auto"/>
          <w:sz w:val="28"/>
          <w:szCs w:val="28"/>
          <w:highlight w:val="none"/>
        </w:rPr>
        <w:t>不可撤销</w:t>
      </w:r>
      <w:r>
        <w:rPr>
          <w:rFonts w:hint="eastAsia" w:ascii="华文仿宋" w:hAnsi="华文仿宋" w:eastAsia="华文仿宋"/>
          <w:color w:val="auto"/>
          <w:sz w:val="28"/>
          <w:szCs w:val="28"/>
          <w:highlight w:val="none"/>
        </w:rPr>
        <w:t>的</w:t>
      </w:r>
      <w:r>
        <w:rPr>
          <w:rFonts w:hint="eastAsia" w:ascii="华文仿宋" w:hAnsi="华文仿宋" w:eastAsia="华文仿宋"/>
          <w:b/>
          <w:color w:val="auto"/>
          <w:sz w:val="28"/>
          <w:szCs w:val="28"/>
          <w:highlight w:val="none"/>
        </w:rPr>
        <w:t>连带责任保证担保</w:t>
      </w:r>
      <w:r>
        <w:rPr>
          <w:rFonts w:hint="eastAsia" w:ascii="华文仿宋" w:hAnsi="华文仿宋" w:eastAsia="华文仿宋"/>
          <w:color w:val="auto"/>
          <w:sz w:val="28"/>
          <w:szCs w:val="28"/>
          <w:highlight w:val="none"/>
        </w:rPr>
        <w:t>：</w:t>
      </w:r>
    </w:p>
    <w:p>
      <w:pPr>
        <w:adjustRightInd w:val="0"/>
        <w:snapToGrid w:val="0"/>
        <w:spacing w:before="120" w:beforeLines="50" w:line="360" w:lineRule="auto"/>
        <w:ind w:firstLine="560" w:firstLineChars="200"/>
        <w:jc w:val="left"/>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一、本保函担保的金额为（大写）人民币</w:t>
      </w:r>
      <w:r>
        <w:rPr>
          <w:rFonts w:hint="eastAsia" w:ascii="华文仿宋" w:hAnsi="华文仿宋" w:eastAsia="华文仿宋"/>
          <w:color w:val="auto"/>
          <w:sz w:val="28"/>
          <w:szCs w:val="28"/>
          <w:highlight w:val="none"/>
          <w:u w:val="single"/>
        </w:rPr>
        <w:t xml:space="preserve">    </w:t>
      </w:r>
      <w:r>
        <w:rPr>
          <w:rFonts w:hint="eastAsia" w:ascii="华文仿宋" w:hAnsi="华文仿宋" w:eastAsia="华文仿宋"/>
          <w:color w:val="auto"/>
          <w:sz w:val="28"/>
          <w:szCs w:val="28"/>
          <w:highlight w:val="none"/>
        </w:rPr>
        <w:t>元（RMB</w:t>
      </w:r>
      <w:r>
        <w:rPr>
          <w:rFonts w:hint="eastAsia" w:ascii="华文仿宋" w:hAnsi="华文仿宋" w:eastAsia="华文仿宋"/>
          <w:color w:val="auto"/>
          <w:sz w:val="28"/>
          <w:szCs w:val="28"/>
          <w:highlight w:val="none"/>
          <w:u w:val="single"/>
        </w:rPr>
        <w:t xml:space="preserve">   </w:t>
      </w:r>
      <w:r>
        <w:rPr>
          <w:rFonts w:hint="eastAsia" w:ascii="华文仿宋" w:hAnsi="华文仿宋" w:eastAsia="华文仿宋"/>
          <w:color w:val="auto"/>
          <w:sz w:val="28"/>
          <w:szCs w:val="28"/>
          <w:highlight w:val="none"/>
        </w:rPr>
        <w:t>）。</w:t>
      </w:r>
    </w:p>
    <w:p>
      <w:pPr>
        <w:adjustRightInd w:val="0"/>
        <w:snapToGrid w:val="0"/>
        <w:spacing w:before="120" w:beforeLines="50" w:line="360" w:lineRule="auto"/>
        <w:ind w:firstLine="560" w:firstLineChars="200"/>
        <w:jc w:val="left"/>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二、本保函的有效期从合同生效之日起至合同项下工程竣工验收合格、结算完成且工程交付发包人（以时间较晚者为准）后第30天止。本保函有效期即为本保函的担保期限。</w:t>
      </w:r>
    </w:p>
    <w:p>
      <w:pPr>
        <w:adjustRightInd w:val="0"/>
        <w:snapToGrid w:val="0"/>
        <w:spacing w:before="120" w:beforeLines="50" w:line="360" w:lineRule="auto"/>
        <w:ind w:firstLine="560" w:firstLineChars="200"/>
        <w:jc w:val="left"/>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三、本保函为</w:t>
      </w:r>
      <w:r>
        <w:rPr>
          <w:rFonts w:hint="eastAsia" w:ascii="华文仿宋" w:hAnsi="华文仿宋" w:eastAsia="华文仿宋"/>
          <w:b/>
          <w:color w:val="auto"/>
          <w:sz w:val="28"/>
          <w:szCs w:val="28"/>
          <w:highlight w:val="none"/>
        </w:rPr>
        <w:t>见索即付</w:t>
      </w:r>
      <w:r>
        <w:rPr>
          <w:rFonts w:hint="eastAsia" w:ascii="华文仿宋" w:hAnsi="华文仿宋" w:eastAsia="华文仿宋"/>
          <w:color w:val="auto"/>
          <w:sz w:val="28"/>
          <w:szCs w:val="28"/>
          <w:highlight w:val="none"/>
        </w:rPr>
        <w:t>保函，在本保函的担保期限内，我方将在收到受益人经法定代表人或其授权委托代理人签字并加盖公章的书面索赔通知原件后</w:t>
      </w:r>
      <w:r>
        <w:rPr>
          <w:rFonts w:hint="eastAsia" w:ascii="华文仿宋" w:hAnsi="华文仿宋" w:eastAsia="华文仿宋"/>
          <w:color w:val="auto"/>
          <w:sz w:val="28"/>
          <w:szCs w:val="28"/>
          <w:highlight w:val="none"/>
          <w:u w:val="single"/>
        </w:rPr>
        <w:t xml:space="preserve">    </w:t>
      </w:r>
      <w:r>
        <w:rPr>
          <w:rFonts w:hint="eastAsia" w:ascii="华文仿宋" w:hAnsi="华文仿宋" w:eastAsia="华文仿宋"/>
          <w:color w:val="auto"/>
          <w:sz w:val="28"/>
          <w:szCs w:val="28"/>
          <w:highlight w:val="none"/>
        </w:rPr>
        <w:t>个工作日内，</w:t>
      </w:r>
      <w:r>
        <w:rPr>
          <w:rFonts w:hint="eastAsia" w:ascii="华文仿宋" w:hAnsi="华文仿宋" w:eastAsia="华文仿宋"/>
          <w:b/>
          <w:color w:val="auto"/>
          <w:sz w:val="28"/>
          <w:szCs w:val="28"/>
          <w:highlight w:val="none"/>
        </w:rPr>
        <w:t>不争辩、不挑剔、不可撤销</w:t>
      </w:r>
      <w:r>
        <w:rPr>
          <w:rFonts w:hint="eastAsia" w:ascii="华文仿宋" w:hAnsi="华文仿宋" w:eastAsia="华文仿宋"/>
          <w:color w:val="auto"/>
          <w:sz w:val="28"/>
          <w:szCs w:val="28"/>
          <w:highlight w:val="none"/>
        </w:rPr>
        <w:t>地向受益人支付索赔款，直至本保函担保的最高金额。</w:t>
      </w:r>
      <w:r>
        <w:rPr>
          <w:rFonts w:hint="eastAsia" w:ascii="华文仿宋" w:hAnsi="华文仿宋" w:eastAsia="华文仿宋"/>
          <w:b/>
          <w:color w:val="auto"/>
          <w:sz w:val="28"/>
          <w:szCs w:val="28"/>
          <w:highlight w:val="none"/>
        </w:rPr>
        <w:t>受益人出具的书面索赔通知书无需要求证明被担保人是否违约或索赔金额是否恰当</w:t>
      </w:r>
      <w:r>
        <w:rPr>
          <w:rFonts w:hint="eastAsia" w:ascii="华文仿宋" w:hAnsi="华文仿宋" w:eastAsia="华文仿宋"/>
          <w:color w:val="auto"/>
          <w:sz w:val="28"/>
          <w:szCs w:val="28"/>
          <w:highlight w:val="none"/>
        </w:rPr>
        <w:t>。</w:t>
      </w:r>
    </w:p>
    <w:p>
      <w:pPr>
        <w:adjustRightInd w:val="0"/>
        <w:snapToGrid w:val="0"/>
        <w:spacing w:before="120" w:beforeLines="50" w:line="360" w:lineRule="auto"/>
        <w:ind w:firstLine="560" w:firstLineChars="200"/>
        <w:jc w:val="lef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四</w:t>
      </w:r>
      <w:r>
        <w:rPr>
          <w:rFonts w:hint="eastAsia" w:ascii="华文仿宋" w:hAnsi="华文仿宋" w:eastAsia="华文仿宋"/>
          <w:color w:val="auto"/>
          <w:sz w:val="28"/>
          <w:szCs w:val="28"/>
          <w:highlight w:val="none"/>
        </w:rPr>
        <w:t>、我方出具本保函后，</w:t>
      </w:r>
      <w:r>
        <w:rPr>
          <w:rFonts w:hint="eastAsia" w:ascii="华文仿宋" w:hAnsi="华文仿宋" w:eastAsia="华文仿宋"/>
          <w:b/>
          <w:color w:val="auto"/>
          <w:sz w:val="28"/>
          <w:szCs w:val="28"/>
          <w:highlight w:val="none"/>
        </w:rPr>
        <w:t>受益人与被担保人对合同进行的任何修订，或受益人对合同有关事项的任何豁免或未追究皆不会解除或减轻我方于本保函担保项下的责任</w:t>
      </w:r>
      <w:r>
        <w:rPr>
          <w:rFonts w:hint="eastAsia" w:ascii="华文仿宋" w:hAnsi="华文仿宋" w:eastAsia="华文仿宋"/>
          <w:color w:val="auto"/>
          <w:sz w:val="28"/>
          <w:szCs w:val="28"/>
          <w:highlight w:val="none"/>
        </w:rPr>
        <w:t>。</w:t>
      </w:r>
    </w:p>
    <w:p>
      <w:pPr>
        <w:adjustRightInd w:val="0"/>
        <w:snapToGrid w:val="0"/>
        <w:spacing w:before="120" w:beforeLines="50" w:line="360" w:lineRule="auto"/>
        <w:ind w:firstLine="560" w:firstLineChars="200"/>
        <w:jc w:val="lef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五</w:t>
      </w:r>
      <w:r>
        <w:rPr>
          <w:rFonts w:hint="eastAsia" w:ascii="华文仿宋" w:hAnsi="华文仿宋" w:eastAsia="华文仿宋"/>
          <w:color w:val="auto"/>
          <w:sz w:val="28"/>
          <w:szCs w:val="28"/>
          <w:highlight w:val="none"/>
        </w:rPr>
        <w:t>、本保函有效期届满，或我方向受益人支付索赔款已达本保函担保的最高金额，我方的担保责任免除，以两者中较早发生者为准。本保函到期后无论本保函原件是否退还我方，本保函到期即自动失效。</w:t>
      </w:r>
    </w:p>
    <w:p>
      <w:pPr>
        <w:adjustRightInd w:val="0"/>
        <w:snapToGrid w:val="0"/>
        <w:spacing w:before="120" w:beforeLines="50" w:line="360" w:lineRule="auto"/>
        <w:ind w:firstLine="560" w:firstLineChars="200"/>
        <w:jc w:val="lef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六</w:t>
      </w:r>
      <w:r>
        <w:rPr>
          <w:rFonts w:hint="eastAsia" w:ascii="华文仿宋" w:hAnsi="华文仿宋" w:eastAsia="华文仿宋"/>
          <w:color w:val="auto"/>
          <w:sz w:val="28"/>
          <w:szCs w:val="28"/>
          <w:highlight w:val="none"/>
        </w:rPr>
        <w:t>、本保函对我方及我方继受人有不可撤销的约束力，我方自愿作出上述承诺，并清楚了解本保函法律含义。</w:t>
      </w:r>
    </w:p>
    <w:p>
      <w:pPr>
        <w:adjustRightInd w:val="0"/>
        <w:snapToGrid w:val="0"/>
        <w:spacing w:before="120" w:beforeLines="50" w:line="360" w:lineRule="auto"/>
        <w:ind w:firstLine="560" w:firstLineChars="200"/>
        <w:jc w:val="lef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七</w:t>
      </w:r>
      <w:r>
        <w:rPr>
          <w:rFonts w:hint="eastAsia" w:ascii="华文仿宋" w:hAnsi="华文仿宋" w:eastAsia="华文仿宋"/>
          <w:color w:val="auto"/>
          <w:sz w:val="28"/>
          <w:szCs w:val="28"/>
          <w:highlight w:val="none"/>
        </w:rPr>
        <w:t>、本保函担保项下的权利不得转让或出让，但可由受益人之继承人或其受让人继承。</w:t>
      </w:r>
    </w:p>
    <w:p>
      <w:pPr>
        <w:adjustRightInd w:val="0"/>
        <w:snapToGrid w:val="0"/>
        <w:spacing w:before="120" w:beforeLines="50"/>
        <w:ind w:firstLine="560" w:firstLineChars="200"/>
        <w:jc w:val="left"/>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八、受益人提出索赔的，应按以下通讯信息向我方发出书面通知：</w:t>
      </w:r>
    </w:p>
    <w:p>
      <w:pPr>
        <w:adjustRightInd w:val="0"/>
        <w:snapToGrid w:val="0"/>
        <w:spacing w:before="120" w:beforeLines="50"/>
        <w:ind w:firstLine="560" w:firstLineChars="200"/>
        <w:jc w:val="left"/>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收件人：</w:t>
      </w:r>
    </w:p>
    <w:p>
      <w:pPr>
        <w:adjustRightInd w:val="0"/>
        <w:snapToGrid w:val="0"/>
        <w:spacing w:before="120" w:beforeLines="50"/>
        <w:ind w:firstLine="560" w:firstLineChars="200"/>
        <w:jc w:val="lef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通讯地址：</w:t>
      </w:r>
    </w:p>
    <w:p>
      <w:pPr>
        <w:adjustRightInd w:val="0"/>
        <w:snapToGrid w:val="0"/>
        <w:spacing w:before="120" w:beforeLines="50"/>
        <w:ind w:firstLine="560" w:firstLineChars="200"/>
        <w:jc w:val="left"/>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联系电话</w:t>
      </w:r>
      <w:r>
        <w:rPr>
          <w:rFonts w:ascii="华文仿宋" w:hAnsi="华文仿宋" w:eastAsia="华文仿宋"/>
          <w:color w:val="auto"/>
          <w:sz w:val="28"/>
          <w:szCs w:val="28"/>
          <w:highlight w:val="none"/>
        </w:rPr>
        <w:t>：</w:t>
      </w:r>
    </w:p>
    <w:p>
      <w:pPr>
        <w:adjustRightInd w:val="0"/>
        <w:snapToGrid w:val="0"/>
        <w:spacing w:before="120" w:beforeLines="50" w:line="360" w:lineRule="auto"/>
        <w:ind w:firstLine="560" w:firstLineChars="200"/>
        <w:jc w:val="left"/>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索赔通知如果通过专人送达，该通知在接收时即视为已经送达；如果通过信函邮寄方式送达，该通知在发出之日后【三】个工作日即视为已经送达。</w:t>
      </w:r>
    </w:p>
    <w:p>
      <w:pPr>
        <w:adjustRightInd w:val="0"/>
        <w:snapToGrid w:val="0"/>
        <w:spacing w:before="120" w:beforeLines="50" w:line="360" w:lineRule="auto"/>
        <w:ind w:firstLine="560" w:firstLineChars="200"/>
        <w:jc w:val="lef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九</w:t>
      </w:r>
      <w:r>
        <w:rPr>
          <w:rFonts w:hint="eastAsia" w:ascii="华文仿宋" w:hAnsi="华文仿宋" w:eastAsia="华文仿宋"/>
          <w:color w:val="auto"/>
          <w:sz w:val="28"/>
          <w:szCs w:val="28"/>
          <w:highlight w:val="none"/>
        </w:rPr>
        <w:t>、本保函适用中华人民共和国法律法规。</w:t>
      </w:r>
    </w:p>
    <w:p>
      <w:pPr>
        <w:wordWrap w:val="0"/>
        <w:adjustRightInd w:val="0"/>
        <w:snapToGrid w:val="0"/>
        <w:spacing w:before="120" w:beforeLines="50" w:line="360" w:lineRule="auto"/>
        <w:ind w:firstLine="560" w:firstLineChars="200"/>
        <w:jc w:val="right"/>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出具银行： （</w:t>
      </w:r>
      <w:r>
        <w:rPr>
          <w:color w:val="auto"/>
          <w:szCs w:val="22"/>
          <w:highlight w:val="none"/>
        </w:rPr>
        <w:t>银行印章</w:t>
      </w:r>
      <w:r>
        <w:rPr>
          <w:rFonts w:hint="eastAsia" w:ascii="华文仿宋" w:hAnsi="华文仿宋" w:eastAsia="华文仿宋"/>
          <w:color w:val="auto"/>
          <w:sz w:val="28"/>
          <w:szCs w:val="28"/>
          <w:highlight w:val="none"/>
        </w:rPr>
        <w:t>）</w:t>
      </w:r>
      <w:r>
        <w:rPr>
          <w:rFonts w:ascii="华文仿宋" w:hAnsi="华文仿宋" w:eastAsia="华文仿宋"/>
          <w:color w:val="auto"/>
          <w:sz w:val="28"/>
          <w:szCs w:val="28"/>
          <w:highlight w:val="none"/>
        </w:rPr>
        <w:t xml:space="preserve">    </w:t>
      </w:r>
    </w:p>
    <w:p>
      <w:pPr>
        <w:wordWrap w:val="0"/>
        <w:adjustRightInd w:val="0"/>
        <w:snapToGrid w:val="0"/>
        <w:spacing w:before="120" w:beforeLines="50" w:line="360" w:lineRule="auto"/>
        <w:ind w:right="280" w:firstLine="420" w:firstLineChars="200"/>
        <w:jc w:val="right"/>
        <w:rPr>
          <w:rFonts w:ascii="华文仿宋" w:hAnsi="华文仿宋" w:eastAsia="华文仿宋"/>
          <w:color w:val="auto"/>
          <w:sz w:val="28"/>
          <w:szCs w:val="28"/>
          <w:highlight w:val="none"/>
        </w:rPr>
      </w:pPr>
      <w:r>
        <w:rPr>
          <w:color w:val="auto"/>
          <w:szCs w:val="22"/>
          <w:highlight w:val="none"/>
        </w:rPr>
        <w:t>法定代表人签字或签章</w:t>
      </w:r>
      <w:r>
        <w:rPr>
          <w:rFonts w:hint="eastAsia" w:ascii="华文仿宋" w:hAnsi="华文仿宋" w:eastAsia="华文仿宋"/>
          <w:color w:val="auto"/>
          <w:sz w:val="28"/>
          <w:szCs w:val="28"/>
          <w:highlight w:val="none"/>
        </w:rPr>
        <w:t xml:space="preserve"> </w:t>
      </w:r>
      <w:r>
        <w:rPr>
          <w:rFonts w:ascii="华文仿宋" w:hAnsi="华文仿宋" w:eastAsia="华文仿宋"/>
          <w:color w:val="auto"/>
          <w:sz w:val="28"/>
          <w:szCs w:val="28"/>
          <w:highlight w:val="none"/>
        </w:rPr>
        <w:t xml:space="preserve">            </w:t>
      </w:r>
    </w:p>
    <w:p>
      <w:pPr>
        <w:widowControl/>
        <w:jc w:val="lef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br w:type="page"/>
      </w:r>
    </w:p>
    <w:p>
      <w:pPr>
        <w:wordWrap w:val="0"/>
        <w:adjustRightInd w:val="0"/>
        <w:snapToGrid w:val="0"/>
        <w:spacing w:before="120" w:beforeLines="50" w:line="360" w:lineRule="auto"/>
        <w:ind w:right="280"/>
        <w:jc w:val="left"/>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【备注要求：</w:t>
      </w:r>
      <w:r>
        <w:rPr>
          <w:rFonts w:ascii="华文仿宋" w:hAnsi="华文仿宋" w:eastAsia="华文仿宋"/>
          <w:color w:val="auto"/>
          <w:sz w:val="28"/>
          <w:szCs w:val="28"/>
          <w:highlight w:val="none"/>
        </w:rPr>
        <w:t>根据中国人民银行、银保监会发布的我国系统重要性银行名单，系统重要性银行包括 6 家国有商业银行、9 家股份 制商业银行和 4 家城市商业银行，按系统重要性得分从低到高分为四组： 第一组：平安银行、中国光大银行、华夏银行、广发银 行、宁波银行、上海银行、江苏银行、北京银行； 第二组：浦发银行、中信银行、中国民生银行、中国邮 政储蓄银行； 第三组：交通银行、招商银行、兴业银行； 第四组：中国工商银行、中国银行、中国建设银行、中国农业银行。</w:t>
      </w:r>
      <w:r>
        <w:rPr>
          <w:rFonts w:hint="eastAsia" w:ascii="华文仿宋" w:hAnsi="华文仿宋" w:eastAsia="华文仿宋"/>
          <w:color w:val="auto"/>
          <w:sz w:val="28"/>
          <w:szCs w:val="28"/>
          <w:highlight w:val="none"/>
        </w:rPr>
        <w:t>】</w:t>
      </w:r>
    </w:p>
    <w:p>
      <w:pPr>
        <w:adjustRightInd w:val="0"/>
        <w:snapToGrid w:val="0"/>
        <w:spacing w:line="360" w:lineRule="auto"/>
        <w:ind w:firstLine="480" w:firstLineChars="200"/>
        <w:rPr>
          <w:rFonts w:cs="宋体" w:asciiTheme="minorEastAsia" w:hAnsiTheme="minorEastAsia" w:eastAsiaTheme="minorEastAsia"/>
          <w:color w:val="auto"/>
          <w:kern w:val="44"/>
          <w:sz w:val="24"/>
          <w:highlight w:val="none"/>
          <w:lang w:val="zh-CN"/>
        </w:rPr>
      </w:pPr>
    </w:p>
    <w:p>
      <w:pPr>
        <w:adjustRightInd w:val="0"/>
        <w:snapToGrid w:val="0"/>
        <w:spacing w:line="360" w:lineRule="auto"/>
        <w:rPr>
          <w:color w:val="auto"/>
          <w:highlight w:val="none"/>
        </w:rPr>
        <w:sectPr>
          <w:pgSz w:w="11909" w:h="16834"/>
          <w:pgMar w:top="1418" w:right="1134" w:bottom="1418" w:left="1247" w:header="851" w:footer="851" w:gutter="0"/>
          <w:cols w:space="720" w:num="1"/>
          <w:docGrid w:linePitch="312" w:charSpace="0"/>
        </w:sectPr>
      </w:pPr>
    </w:p>
    <w:p>
      <w:pPr>
        <w:pStyle w:val="5"/>
        <w:rPr>
          <w:color w:val="auto"/>
          <w:sz w:val="21"/>
          <w:szCs w:val="21"/>
          <w:highlight w:val="none"/>
        </w:rPr>
      </w:pPr>
      <w:bookmarkStart w:id="493" w:name="_Toc133502221"/>
      <w:bookmarkStart w:id="494" w:name="_Toc33448498"/>
      <w:r>
        <w:rPr>
          <w:rFonts w:hint="eastAsia"/>
          <w:color w:val="auto"/>
          <w:sz w:val="21"/>
          <w:szCs w:val="21"/>
          <w:highlight w:val="none"/>
        </w:rPr>
        <w:t>附件4：工程质量保修书</w:t>
      </w:r>
      <w:bookmarkEnd w:id="493"/>
      <w:bookmarkEnd w:id="494"/>
    </w:p>
    <w:p>
      <w:pPr>
        <w:jc w:val="center"/>
        <w:rPr>
          <w:b/>
          <w:color w:val="auto"/>
          <w:sz w:val="28"/>
          <w:szCs w:val="28"/>
          <w:highlight w:val="none"/>
        </w:rPr>
      </w:pPr>
      <w:r>
        <w:rPr>
          <w:rFonts w:hint="eastAsia"/>
          <w:b/>
          <w:color w:val="auto"/>
          <w:sz w:val="28"/>
          <w:szCs w:val="28"/>
          <w:highlight w:val="none"/>
        </w:rPr>
        <w:t>工程质量保修书</w:t>
      </w:r>
    </w:p>
    <w:p>
      <w:pPr>
        <w:adjustRightInd w:val="0"/>
        <w:snapToGrid w:val="0"/>
        <w:spacing w:line="360" w:lineRule="auto"/>
        <w:rPr>
          <w:rFonts w:ascii="宋体" w:hAnsi="宋体"/>
          <w:color w:val="auto"/>
          <w:highlight w:val="none"/>
        </w:rPr>
      </w:pPr>
    </w:p>
    <w:p>
      <w:pPr>
        <w:pStyle w:val="19"/>
        <w:adjustRightInd w:val="0"/>
        <w:snapToGrid w:val="0"/>
        <w:spacing w:line="360" w:lineRule="auto"/>
        <w:rPr>
          <w:b/>
          <w:color w:val="auto"/>
          <w:sz w:val="21"/>
          <w:szCs w:val="21"/>
          <w:highlight w:val="none"/>
          <w:u w:val="single"/>
        </w:rPr>
      </w:pPr>
      <w:r>
        <w:rPr>
          <w:rFonts w:hint="eastAsia"/>
          <w:color w:val="auto"/>
          <w:sz w:val="21"/>
          <w:szCs w:val="21"/>
          <w:highlight w:val="none"/>
        </w:rPr>
        <w:t>发包人：</w:t>
      </w:r>
    </w:p>
    <w:p>
      <w:pPr>
        <w:pStyle w:val="19"/>
        <w:adjustRightInd w:val="0"/>
        <w:snapToGrid w:val="0"/>
        <w:spacing w:line="360" w:lineRule="auto"/>
        <w:rPr>
          <w:color w:val="auto"/>
          <w:sz w:val="21"/>
          <w:szCs w:val="21"/>
          <w:highlight w:val="none"/>
          <w:u w:val="single"/>
        </w:rPr>
      </w:pPr>
      <w:r>
        <w:rPr>
          <w:rFonts w:hint="eastAsia"/>
          <w:color w:val="auto"/>
          <w:sz w:val="21"/>
          <w:szCs w:val="21"/>
          <w:highlight w:val="none"/>
        </w:rPr>
        <w:t>承包人：</w:t>
      </w:r>
      <w:r>
        <w:rPr>
          <w:rFonts w:hint="eastAsia"/>
          <w:b/>
          <w:bCs/>
          <w:color w:val="auto"/>
          <w:sz w:val="21"/>
          <w:szCs w:val="21"/>
          <w:highlight w:val="none"/>
          <w:u w:val="single"/>
        </w:rPr>
        <w:t xml:space="preserve"> </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为保证</w:t>
      </w:r>
      <w:r>
        <w:rPr>
          <w:rFonts w:hint="eastAsia" w:hAnsi="宋体"/>
          <w:snapToGrid w:val="0"/>
          <w:color w:val="auto"/>
          <w:kern w:val="0"/>
          <w:szCs w:val="21"/>
          <w:highlight w:val="none"/>
        </w:rPr>
        <w:t>本</w:t>
      </w:r>
      <w:r>
        <w:rPr>
          <w:rFonts w:hint="eastAsia" w:ascii="宋体" w:hAnsi="宋体"/>
          <w:color w:val="auto"/>
          <w:szCs w:val="21"/>
          <w:highlight w:val="none"/>
        </w:rPr>
        <w:t>工程在合理使用期限内正常使用，发包人、承包人经协商一致签订本工程质量保修书。承包人在缺陷责任期及质量保修期内按照有关管理规定及双方约定承担工程质量保修责任。</w:t>
      </w:r>
    </w:p>
    <w:p>
      <w:pPr>
        <w:pStyle w:val="54"/>
        <w:numPr>
          <w:ilvl w:val="0"/>
          <w:numId w:val="45"/>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工程质量保修范围和内容</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质量保修范围包括但不限于包括详见合同承包范围内容。</w:t>
      </w:r>
    </w:p>
    <w:p>
      <w:pPr>
        <w:pStyle w:val="54"/>
        <w:numPr>
          <w:ilvl w:val="0"/>
          <w:numId w:val="45"/>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缺陷责任期</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缺陷责任期从园林绿化工程竣工验收合格之日算起。缺陷责任期的具体期限:主体结构工程为设计文件规定的该工程合理使用年限，防水工程为</w:t>
      </w:r>
      <w:r>
        <w:rPr>
          <w:rFonts w:hint="eastAsia" w:ascii="宋体" w:hAnsi="宋体"/>
          <w:color w:val="auto"/>
          <w:szCs w:val="21"/>
          <w:highlight w:val="none"/>
          <w:u w:val="single"/>
        </w:rPr>
        <w:t xml:space="preserve"> 伍 </w:t>
      </w:r>
      <w:r>
        <w:rPr>
          <w:rFonts w:hint="eastAsia" w:ascii="宋体" w:hAnsi="宋体"/>
          <w:color w:val="auto"/>
          <w:szCs w:val="21"/>
          <w:highlight w:val="none"/>
        </w:rPr>
        <w:t xml:space="preserve">年，园建、水电、设备工程保修期为两年，乔灌木、地被保修期（养护期）为一年，其他项目为两年。 </w:t>
      </w:r>
    </w:p>
    <w:p>
      <w:pPr>
        <w:pStyle w:val="54"/>
        <w:numPr>
          <w:ilvl w:val="0"/>
          <w:numId w:val="45"/>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质量保修期</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质量保修期自园林绿化工程竣工验收合格之日起计算。双方根据国家有关规定，结合具体工程约定保修期如下：</w:t>
      </w:r>
      <w:r>
        <w:rPr>
          <w:rFonts w:hint="eastAsia" w:ascii="宋体" w:hAnsi="宋体"/>
          <w:color w:val="auto"/>
          <w:highlight w:val="none"/>
        </w:rPr>
        <w:t>主体结构工程为设计文件规定的该工程合理使用年限，防水工程为</w:t>
      </w:r>
      <w:r>
        <w:rPr>
          <w:rFonts w:hint="eastAsia" w:ascii="宋体" w:hAnsi="宋体"/>
          <w:color w:val="auto"/>
          <w:highlight w:val="none"/>
          <w:u w:val="single"/>
        </w:rPr>
        <w:t xml:space="preserve"> 伍 </w:t>
      </w:r>
      <w:r>
        <w:rPr>
          <w:rFonts w:hint="eastAsia" w:ascii="宋体" w:hAnsi="宋体"/>
          <w:color w:val="auto"/>
          <w:highlight w:val="none"/>
        </w:rPr>
        <w:t>年，</w:t>
      </w:r>
      <w:r>
        <w:rPr>
          <w:rFonts w:hint="eastAsia" w:ascii="宋体" w:hAnsi="宋体"/>
          <w:color w:val="auto"/>
          <w:szCs w:val="21"/>
          <w:highlight w:val="none"/>
        </w:rPr>
        <w:t>园建、水电、设备工程保修期为两年，乔灌木、地被保修期（养护期）为一年，</w:t>
      </w:r>
      <w:r>
        <w:rPr>
          <w:rFonts w:hint="eastAsia" w:ascii="宋体" w:hAnsi="宋体"/>
          <w:color w:val="auto"/>
          <w:highlight w:val="none"/>
        </w:rPr>
        <w:t>其他项目为两年</w:t>
      </w:r>
      <w:r>
        <w:rPr>
          <w:rFonts w:hint="eastAsia" w:ascii="宋体" w:hAnsi="宋体"/>
          <w:color w:val="auto"/>
          <w:szCs w:val="21"/>
          <w:highlight w:val="none"/>
        </w:rPr>
        <w:t>，质量保修期从自本工程实际竣工验收合格并移交给甲方之日起计。保修期限内的保修费用已包含在主合同价款内，无需另行支付。</w:t>
      </w:r>
    </w:p>
    <w:p>
      <w:pPr>
        <w:pStyle w:val="54"/>
        <w:numPr>
          <w:ilvl w:val="0"/>
          <w:numId w:val="45"/>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质量保修责任</w:t>
      </w:r>
    </w:p>
    <w:p>
      <w:pPr>
        <w:pStyle w:val="54"/>
        <w:numPr>
          <w:ilvl w:val="0"/>
          <w:numId w:val="46"/>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属于保修范围、内容的项目，承包人应当在接到保修通知之日起</w:t>
      </w:r>
      <w:r>
        <w:rPr>
          <w:rFonts w:hint="eastAsia" w:ascii="宋体" w:hAnsi="宋体"/>
          <w:color w:val="auto"/>
          <w:highlight w:val="none"/>
          <w:u w:val="single"/>
        </w:rPr>
        <w:t xml:space="preserve">  48  </w:t>
      </w:r>
      <w:r>
        <w:rPr>
          <w:rFonts w:hint="eastAsia" w:ascii="宋体" w:hAnsi="宋体"/>
          <w:color w:val="auto"/>
          <w:highlight w:val="none"/>
        </w:rPr>
        <w:t>小时内派人保修。承包人不在约定期限内派人保修，发包人可以委托他人维修，所需维修费用（维修费用=发包人与委托方核算的工程量*发包人与委托方商定的单价）由承包人承担，直接从工程质量保证金冲抵，保证金不足以支付保修费用时，发包人有权进一步向承包人追索。</w:t>
      </w:r>
    </w:p>
    <w:p>
      <w:pPr>
        <w:pStyle w:val="54"/>
        <w:numPr>
          <w:ilvl w:val="0"/>
          <w:numId w:val="46"/>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渗水、漏水、给排水、供电设施及线路出现等故障影响居民正常生活或商家经营活动时，承包人承诺在发包人通知后</w:t>
      </w:r>
      <w:r>
        <w:rPr>
          <w:rFonts w:hint="eastAsia" w:ascii="宋体" w:hAnsi="宋体"/>
          <w:color w:val="auto"/>
          <w:highlight w:val="none"/>
          <w:u w:val="single"/>
        </w:rPr>
        <w:t xml:space="preserve"> 4 </w:t>
      </w:r>
      <w:r>
        <w:rPr>
          <w:rFonts w:hint="eastAsia" w:ascii="宋体" w:hAnsi="宋体"/>
          <w:color w:val="auto"/>
          <w:highlight w:val="none"/>
        </w:rPr>
        <w:t>小时内赶到现场并于</w:t>
      </w:r>
      <w:r>
        <w:rPr>
          <w:rFonts w:hint="eastAsia" w:ascii="宋体" w:hAnsi="宋体"/>
          <w:color w:val="auto"/>
          <w:highlight w:val="none"/>
          <w:u w:val="single"/>
        </w:rPr>
        <w:t xml:space="preserve"> 6 </w:t>
      </w:r>
      <w:r>
        <w:rPr>
          <w:rFonts w:hint="eastAsia" w:ascii="宋体" w:hAnsi="宋体"/>
          <w:color w:val="auto"/>
          <w:highlight w:val="none"/>
        </w:rPr>
        <w:t>小时内完成维修。</w:t>
      </w:r>
    </w:p>
    <w:p>
      <w:pPr>
        <w:pStyle w:val="54"/>
        <w:numPr>
          <w:ilvl w:val="0"/>
          <w:numId w:val="46"/>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发生紧急抢修事故的，承包人接到事故通知后，应当立即到达事故现场抢修。</w:t>
      </w:r>
    </w:p>
    <w:p>
      <w:pPr>
        <w:pStyle w:val="54"/>
        <w:numPr>
          <w:ilvl w:val="0"/>
          <w:numId w:val="46"/>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对于涉及结构安全的质量问题，应当按照《房屋建筑工程质量保修办法》的规定，立即向当地建设行政主管部门报告，采取安全防范措施；由原设计人或者具有相应资质等级的设计人提出保修方法，承包人实施保修。</w:t>
      </w:r>
    </w:p>
    <w:p>
      <w:pPr>
        <w:pStyle w:val="54"/>
        <w:numPr>
          <w:ilvl w:val="0"/>
          <w:numId w:val="46"/>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质量保修完成后，由发包人组织验收，由于承包人工程质量问题造成发包人和业主的全部和间接损失，由承包人无条件承担。</w:t>
      </w:r>
    </w:p>
    <w:p>
      <w:pPr>
        <w:pStyle w:val="54"/>
        <w:numPr>
          <w:ilvl w:val="0"/>
          <w:numId w:val="45"/>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质量保证金的支付</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本工程约定的工程质量保证金为该工程结算价款的</w:t>
      </w:r>
      <w:r>
        <w:rPr>
          <w:rFonts w:hint="eastAsia" w:ascii="宋体" w:hAnsi="宋体"/>
          <w:color w:val="auto"/>
          <w:szCs w:val="21"/>
          <w:highlight w:val="none"/>
          <w:u w:val="single"/>
        </w:rPr>
        <w:t xml:space="preserve">  </w:t>
      </w:r>
      <w:r>
        <w:rPr>
          <w:rFonts w:ascii="宋体" w:hAnsi="宋体"/>
          <w:color w:val="auto"/>
          <w:szCs w:val="21"/>
          <w:highlight w:val="none"/>
          <w:u w:val="singl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54"/>
        <w:numPr>
          <w:ilvl w:val="0"/>
          <w:numId w:val="45"/>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质量保证金的返还</w:t>
      </w:r>
    </w:p>
    <w:p>
      <w:pPr>
        <w:pStyle w:val="54"/>
        <w:numPr>
          <w:ilvl w:val="0"/>
          <w:numId w:val="47"/>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 xml:space="preserve">缺陷责任期满一年，经发包人确认对工程质量无异议后30天内，发包人将质量保证金的  </w:t>
      </w:r>
      <w:r>
        <w:rPr>
          <w:rFonts w:hint="eastAsia" w:ascii="宋体" w:hAnsi="宋体"/>
          <w:color w:val="auto"/>
          <w:highlight w:val="none"/>
          <w:u w:val="single"/>
        </w:rPr>
        <w:t>50%  在扣除承包人应承担的保修费用、违约金及其他费用后（若有）无息支付给承包人</w:t>
      </w:r>
      <w:r>
        <w:rPr>
          <w:rFonts w:hint="eastAsia" w:ascii="宋体" w:hAnsi="宋体"/>
          <w:color w:val="auto"/>
          <w:highlight w:val="none"/>
        </w:rPr>
        <w:t>。</w:t>
      </w:r>
    </w:p>
    <w:p>
      <w:pPr>
        <w:pStyle w:val="54"/>
        <w:numPr>
          <w:ilvl w:val="0"/>
          <w:numId w:val="47"/>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缺陷责任期满两年，经发包人确认对工程质量无异议后30天内，发包人</w:t>
      </w:r>
      <w:r>
        <w:rPr>
          <w:rFonts w:hint="eastAsia" w:ascii="宋体" w:hAnsi="宋体"/>
          <w:color w:val="auto"/>
          <w:highlight w:val="none"/>
          <w:u w:val="single"/>
        </w:rPr>
        <w:t>在扣除承包人应承担的保修费用、违约金及其他费用后（若有）</w:t>
      </w:r>
      <w:r>
        <w:rPr>
          <w:rFonts w:hint="eastAsia" w:ascii="宋体" w:hAnsi="宋体"/>
          <w:color w:val="auto"/>
          <w:highlight w:val="none"/>
        </w:rPr>
        <w:t>无息支付质量保证金的</w:t>
      </w:r>
      <w:r>
        <w:rPr>
          <w:rFonts w:hint="eastAsia" w:ascii="宋体" w:hAnsi="宋体"/>
          <w:color w:val="auto"/>
          <w:highlight w:val="none"/>
          <w:u w:val="single"/>
        </w:rPr>
        <w:t xml:space="preserve"> 余款</w:t>
      </w:r>
      <w:r>
        <w:rPr>
          <w:rFonts w:hint="eastAsia" w:ascii="宋体" w:hAnsi="宋体"/>
          <w:color w:val="auto"/>
          <w:highlight w:val="none"/>
        </w:rPr>
        <w:t>。</w:t>
      </w:r>
    </w:p>
    <w:p>
      <w:pPr>
        <w:pStyle w:val="54"/>
        <w:numPr>
          <w:ilvl w:val="0"/>
          <w:numId w:val="47"/>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质量保证金不计利息。</w:t>
      </w:r>
    </w:p>
    <w:p>
      <w:pPr>
        <w:pStyle w:val="54"/>
        <w:numPr>
          <w:ilvl w:val="0"/>
          <w:numId w:val="45"/>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其他</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双方约定的其他工程质量保修事项：</w:t>
      </w:r>
      <w:r>
        <w:rPr>
          <w:rFonts w:hint="eastAsia" w:ascii="宋体" w:hAnsi="宋体"/>
          <w:color w:val="auto"/>
          <w:szCs w:val="21"/>
          <w:highlight w:val="none"/>
          <w:u w:val="single"/>
        </w:rPr>
        <w:t xml:space="preserve">     另行协商     </w:t>
      </w:r>
      <w:r>
        <w:rPr>
          <w:rFonts w:hint="eastAsia" w:ascii="宋体" w:hAnsi="宋体"/>
          <w:color w:val="auto"/>
          <w:szCs w:val="21"/>
          <w:highlight w:val="none"/>
        </w:rPr>
        <w:t>。</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本工程质量保修书作为施工合同附件，由施工合同发包人承包人双方共同签署。</w:t>
      </w:r>
    </w:p>
    <w:p>
      <w:pPr>
        <w:adjustRightInd w:val="0"/>
        <w:snapToGrid w:val="0"/>
        <w:spacing w:line="360" w:lineRule="auto"/>
        <w:ind w:firstLine="420" w:firstLineChars="200"/>
        <w:rPr>
          <w:rFonts w:ascii="宋体" w:hAnsi="宋体"/>
          <w:color w:val="auto"/>
          <w:szCs w:val="21"/>
          <w:highlight w:val="none"/>
        </w:rPr>
      </w:pPr>
    </w:p>
    <w:p>
      <w:pPr>
        <w:adjustRightInd w:val="0"/>
        <w:snapToGrid w:val="0"/>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发 包 人(公章)：</w:t>
      </w:r>
      <w:r>
        <w:rPr>
          <w:rFonts w:hint="eastAsia" w:ascii="宋体" w:hAnsi="宋体"/>
          <w:bCs/>
          <w:color w:val="auto"/>
          <w:szCs w:val="21"/>
          <w:highlight w:val="none"/>
        </w:rPr>
        <w:t xml:space="preserve">                                   </w:t>
      </w:r>
      <w:r>
        <w:rPr>
          <w:rFonts w:hint="eastAsia" w:ascii="宋体" w:hAnsi="宋体"/>
          <w:color w:val="auto"/>
          <w:szCs w:val="21"/>
          <w:highlight w:val="none"/>
        </w:rPr>
        <w:t>承包人(公章)：</w:t>
      </w:r>
      <w:r>
        <w:rPr>
          <w:rFonts w:hint="eastAsia" w:ascii="宋体" w:hAnsi="宋体"/>
          <w:b/>
          <w:bCs/>
          <w:color w:val="auto"/>
          <w:szCs w:val="21"/>
          <w:highlight w:val="none"/>
          <w:u w:val="single"/>
        </w:rPr>
        <w:t xml:space="preserve"> </w:t>
      </w:r>
    </w:p>
    <w:p>
      <w:pPr>
        <w:adjustRightInd w:val="0"/>
        <w:snapToGrid w:val="0"/>
        <w:spacing w:line="360" w:lineRule="auto"/>
        <w:ind w:firstLine="422" w:firstLineChars="200"/>
        <w:rPr>
          <w:rFonts w:ascii="宋体" w:hAnsi="宋体"/>
          <w:color w:val="auto"/>
          <w:szCs w:val="21"/>
          <w:highlight w:val="none"/>
        </w:rPr>
      </w:pPr>
      <w:r>
        <w:rPr>
          <w:rFonts w:ascii="宋体" w:hAnsi="宋体"/>
          <w:b/>
          <w:color w:val="auto"/>
          <w:szCs w:val="21"/>
          <w:highlight w:val="none"/>
        </w:rPr>
        <w:t xml:space="preserve">  </w:t>
      </w:r>
      <w:r>
        <w:rPr>
          <w:rFonts w:hint="eastAsia" w:ascii="宋体" w:hAnsi="宋体"/>
          <w:b/>
          <w:color w:val="auto"/>
          <w:szCs w:val="21"/>
          <w:highlight w:val="none"/>
        </w:rPr>
        <w:t xml:space="preserve">                                        </w:t>
      </w:r>
    </w:p>
    <w:p>
      <w:pPr>
        <w:adjustRightInd w:val="0"/>
        <w:snapToGrid w:val="0"/>
        <w:spacing w:line="360" w:lineRule="auto"/>
        <w:rPr>
          <w:rFonts w:ascii="宋体" w:hAnsi="宋体"/>
          <w:color w:val="auto"/>
          <w:szCs w:val="21"/>
          <w:highlight w:val="none"/>
        </w:rPr>
      </w:pP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法定代表人或委托代理人(签字)：                     法定代表人或委托代理人(签字)：</w:t>
      </w:r>
    </w:p>
    <w:p>
      <w:pPr>
        <w:adjustRightInd w:val="0"/>
        <w:snapToGrid w:val="0"/>
        <w:spacing w:line="360" w:lineRule="auto"/>
        <w:rPr>
          <w:rFonts w:ascii="宋体" w:hAnsi="宋体"/>
          <w:color w:val="auto"/>
          <w:szCs w:val="21"/>
          <w:highlight w:val="none"/>
          <w:u w:val="single"/>
        </w:rPr>
      </w:pP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020</w:t>
      </w:r>
      <w:r>
        <w:rPr>
          <w:rFonts w:hint="eastAsia" w:ascii="宋体" w:hAnsi="宋体"/>
          <w:color w:val="auto"/>
          <w:szCs w:val="21"/>
          <w:highlight w:val="none"/>
        </w:rPr>
        <w:t>年   月    日                                  2</w:t>
      </w:r>
      <w:r>
        <w:rPr>
          <w:rFonts w:ascii="宋体" w:hAnsi="宋体"/>
          <w:color w:val="auto"/>
          <w:szCs w:val="21"/>
          <w:highlight w:val="none"/>
        </w:rPr>
        <w:t>020</w:t>
      </w:r>
      <w:r>
        <w:rPr>
          <w:rFonts w:hint="eastAsia" w:ascii="宋体" w:hAnsi="宋体"/>
          <w:color w:val="auto"/>
          <w:szCs w:val="21"/>
          <w:highlight w:val="none"/>
        </w:rPr>
        <w:t>年   月    日</w:t>
      </w:r>
    </w:p>
    <w:p>
      <w:pPr>
        <w:adjustRightInd w:val="0"/>
        <w:snapToGrid w:val="0"/>
        <w:spacing w:line="360" w:lineRule="auto"/>
        <w:jc w:val="left"/>
        <w:rPr>
          <w:color w:val="auto"/>
          <w:highlight w:val="none"/>
        </w:rPr>
      </w:pPr>
    </w:p>
    <w:p>
      <w:pPr>
        <w:adjustRightInd w:val="0"/>
        <w:snapToGrid w:val="0"/>
        <w:spacing w:line="360" w:lineRule="auto"/>
        <w:rPr>
          <w:color w:val="auto"/>
          <w:highlight w:val="none"/>
        </w:rPr>
      </w:pPr>
    </w:p>
    <w:p>
      <w:pPr>
        <w:tabs>
          <w:tab w:val="left" w:pos="630"/>
        </w:tabs>
        <w:adjustRightInd w:val="0"/>
        <w:spacing w:line="540" w:lineRule="exact"/>
        <w:textAlignment w:val="baseline"/>
        <w:rPr>
          <w:rFonts w:ascii="宋体" w:hAnsi="宋体" w:cs="Arial Unicode MS"/>
          <w:color w:val="auto"/>
          <w:spacing w:val="2"/>
          <w:kern w:val="0"/>
          <w:sz w:val="24"/>
          <w:highlight w:val="none"/>
        </w:rPr>
      </w:pPr>
      <w:r>
        <w:rPr>
          <w:color w:val="auto"/>
          <w:highlight w:val="none"/>
        </w:rPr>
        <w:br w:type="page"/>
      </w:r>
      <w:bookmarkStart w:id="495" w:name="_Toc33448502"/>
    </w:p>
    <w:p>
      <w:pPr>
        <w:pStyle w:val="5"/>
        <w:rPr>
          <w:rFonts w:asciiTheme="minorEastAsia" w:hAnsiTheme="minorEastAsia" w:eastAsiaTheme="minorEastAsia"/>
          <w:color w:val="auto"/>
          <w:sz w:val="21"/>
          <w:szCs w:val="21"/>
          <w:highlight w:val="none"/>
        </w:rPr>
      </w:pPr>
      <w:r>
        <w:rPr>
          <w:rFonts w:hint="eastAsia"/>
          <w:color w:val="auto"/>
          <w:szCs w:val="21"/>
          <w:highlight w:val="none"/>
        </w:rPr>
        <w:t xml:space="preserve"> </w:t>
      </w:r>
      <w:bookmarkEnd w:id="495"/>
      <w:bookmarkStart w:id="496" w:name="_Toc33448503"/>
      <w:bookmarkStart w:id="497" w:name="_Toc133502225"/>
      <w:r>
        <w:rPr>
          <w:rFonts w:hint="eastAsia"/>
          <w:color w:val="auto"/>
          <w:sz w:val="21"/>
          <w:szCs w:val="21"/>
          <w:highlight w:val="none"/>
        </w:rPr>
        <w:t>附件5：工程建设项目廉政责任书</w:t>
      </w:r>
      <w:bookmarkEnd w:id="496"/>
      <w:bookmarkEnd w:id="497"/>
    </w:p>
    <w:p>
      <w:pPr>
        <w:tabs>
          <w:tab w:val="left" w:pos="630"/>
        </w:tabs>
        <w:adjustRightInd w:val="0"/>
        <w:spacing w:line="540" w:lineRule="exact"/>
        <w:jc w:val="center"/>
        <w:textAlignment w:val="baseline"/>
        <w:rPr>
          <w:rFonts w:ascii="宋体" w:hAnsi="宋体"/>
          <w:b/>
          <w:color w:val="auto"/>
          <w:kern w:val="0"/>
          <w:sz w:val="32"/>
          <w:szCs w:val="32"/>
          <w:highlight w:val="none"/>
        </w:rPr>
      </w:pPr>
      <w:r>
        <w:rPr>
          <w:rFonts w:hint="eastAsia" w:ascii="宋体" w:hAnsi="宋体"/>
          <w:b/>
          <w:color w:val="auto"/>
          <w:kern w:val="0"/>
          <w:sz w:val="32"/>
          <w:szCs w:val="32"/>
          <w:highlight w:val="none"/>
        </w:rPr>
        <w:t>工程建设项目廉政责任书</w:t>
      </w:r>
    </w:p>
    <w:p>
      <w:pPr>
        <w:tabs>
          <w:tab w:val="left" w:pos="630"/>
        </w:tabs>
        <w:adjustRightInd w:val="0"/>
        <w:spacing w:line="540" w:lineRule="exact"/>
        <w:jc w:val="center"/>
        <w:textAlignment w:val="baseline"/>
        <w:rPr>
          <w:rFonts w:ascii="宋体" w:hAnsi="宋体"/>
          <w:b/>
          <w:color w:val="auto"/>
          <w:kern w:val="0"/>
          <w:sz w:val="32"/>
          <w:szCs w:val="32"/>
          <w:highlight w:val="none"/>
        </w:rPr>
      </w:pPr>
    </w:p>
    <w:p>
      <w:pPr>
        <w:tabs>
          <w:tab w:val="left" w:pos="630"/>
        </w:tabs>
        <w:adjustRightInd w:val="0"/>
        <w:spacing w:line="540" w:lineRule="exact"/>
        <w:ind w:firstLine="525" w:firstLineChars="250"/>
        <w:textAlignment w:val="baseline"/>
        <w:rPr>
          <w:rFonts w:ascii="宋体" w:hAnsi="宋体"/>
          <w:color w:val="auto"/>
          <w:kern w:val="0"/>
          <w:szCs w:val="21"/>
          <w:highlight w:val="none"/>
        </w:rPr>
      </w:pPr>
      <w:r>
        <w:rPr>
          <w:rFonts w:hint="eastAsia" w:ascii="宋体" w:hAnsi="宋体"/>
          <w:color w:val="auto"/>
          <w:kern w:val="0"/>
          <w:szCs w:val="21"/>
          <w:highlight w:val="none"/>
        </w:rPr>
        <w:t>为加强</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工程建设过程的廉政建设，规范工程建设中双方的各项活动，防止发生各种谋取不正当利益的违法违纪行为，保护国家和当事人的合法权益，根据国家有关工程建设的法律法规和廉政建设责任制规定，特订立本廉政责任书。</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第一条　甲乙双方的责任</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（一）应严格遵守国家关于市场准入、项目招标投标、工程建设、施工安装和市场活动等有关法律、法规、政策，以及廉政建设的各项规定。</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（二）严格履行工程建设项目中所签订的所有合同文件，自觉按合同办事。</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（三）业务活动必须坚持公开、公平、公正、诚信、透明的原则（除法律法规另有规定者外），不得为获取不正当的利益，损害国家和对方利益，不得违反工程建设管理、施工安装的规章制度。</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（四）教育、监督本单位所有相关人员(包括担任领导职务人员，下同）廉洁、尽职地工作，制定和严格执行相关规章制度，防范和严肃查处相关人员违法、违纪利用工作便利谋取个人利益的行为。</w:t>
      </w:r>
    </w:p>
    <w:p>
      <w:pPr>
        <w:tabs>
          <w:tab w:val="left" w:pos="630"/>
        </w:tabs>
        <w:adjustRightInd w:val="0"/>
        <w:spacing w:line="540" w:lineRule="exact"/>
        <w:ind w:firstLine="359" w:firstLineChars="171"/>
        <w:textAlignment w:val="baseline"/>
        <w:rPr>
          <w:rFonts w:ascii="宋体" w:hAnsi="宋体"/>
          <w:color w:val="auto"/>
          <w:kern w:val="0"/>
          <w:szCs w:val="21"/>
          <w:highlight w:val="none"/>
        </w:rPr>
      </w:pPr>
      <w:r>
        <w:rPr>
          <w:rFonts w:hint="eastAsia" w:ascii="宋体" w:hAnsi="宋体"/>
          <w:color w:val="auto"/>
          <w:kern w:val="0"/>
          <w:szCs w:val="21"/>
          <w:highlight w:val="none"/>
        </w:rPr>
        <w:t>（五）不得向另一方的相关人员提供第二条或第三条各项所列个人利益，三方的合同另有明文规定的奖励、考察不受此限。</w:t>
      </w:r>
    </w:p>
    <w:p>
      <w:pPr>
        <w:tabs>
          <w:tab w:val="left" w:pos="630"/>
        </w:tabs>
        <w:adjustRightInd w:val="0"/>
        <w:spacing w:line="540" w:lineRule="exact"/>
        <w:ind w:firstLine="359" w:firstLineChars="171"/>
        <w:textAlignment w:val="baseline"/>
        <w:rPr>
          <w:rFonts w:ascii="宋体" w:hAnsi="宋体"/>
          <w:color w:val="auto"/>
          <w:kern w:val="0"/>
          <w:szCs w:val="21"/>
          <w:highlight w:val="none"/>
        </w:rPr>
      </w:pPr>
      <w:r>
        <w:rPr>
          <w:rFonts w:hint="eastAsia" w:ascii="宋体" w:hAnsi="宋体"/>
          <w:color w:val="auto"/>
          <w:kern w:val="0"/>
          <w:szCs w:val="21"/>
          <w:highlight w:val="none"/>
        </w:rPr>
        <w:t>(六)发现另一方或其有关人员在业务活动中有违规、违纪、违法行为的，应及时提醒、告知另一方，另一方应依照法律法规、相关合同，认真调查并处理。另一方或其有关人员该等行为情节严重的，任何一方均应向其上级主管部门或纪检监察、司法等有关机关举报。</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第二条　甲方的责任</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甲方应教育和监督本方与该工程建设项目有关的人员，在工程建设的事前、事中、事后均严格遵守以下规定：</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（一）不准向乙方和相关单位</w:t>
      </w:r>
      <w:r>
        <w:rPr>
          <w:rFonts w:hint="eastAsia" w:ascii="宋体" w:hAnsi="宋体"/>
          <w:color w:val="auto"/>
          <w:kern w:val="0"/>
          <w:sz w:val="22"/>
          <w:highlight w:val="none"/>
        </w:rPr>
        <w:t>（包括但不限于施工单位、勘察、设计单位、设备或原材料供应单位，下同）</w:t>
      </w:r>
      <w:r>
        <w:rPr>
          <w:rFonts w:hint="eastAsia" w:ascii="宋体" w:hAnsi="宋体"/>
          <w:color w:val="auto"/>
          <w:kern w:val="0"/>
          <w:szCs w:val="21"/>
          <w:highlight w:val="none"/>
        </w:rPr>
        <w:t>索要或接受回扣、礼金、红包、有价证券、银行卡、物品和好处费、感谢费、其他财产性利益等。</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（二）不准在乙方和相关单位报销任何应由甲方支付的费用，或借用乙方的车辆办理私事。</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（三）不准要求、暗示和接受甲方和相关单位为个人装修住房、婚丧嫁娶、配偶子女的工作安排以及出国（境）、旅游（双方相关合同所规定的考察不受此限）等提供方便。</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（四）不准参加有可能影响公正执行公务的乙方和相关单位的宴请、健身、娱乐等活动。</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五）不准向乙方介绍或为配偶、子女、亲属参与同甲方有关的设备、材料、工程分包、劳务等经济活动。不得以任何理由向乙方和相关单位推荐分包单位和要求乙方购买规定以外的材料、设备等（合同所规定的属于甲方行使的相关权利不受此限）。</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第三条　乙方的责任</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应与甲方保持正常的业务交往，按照有关法律法规和程序开展业务工作，严格执行工程建设的有关方针、政策，尤其是有关建筑施工、安装及强制性标准和规范，并教育和监督其领导和有关人员严格遵守以下规定：</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（一）不准以任何理由向甲方、相关单位及其工作人员索要、接受或赠送礼金、红包、有价证券、银行卡、物品和回扣、好处费、感谢费、其他财产性利益等。</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（二）不准以任何理由为甲方和相关单位报销应由对方或个人支付的费用，或出借车辆给甲方人员办理私事。</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（三）不准接受或暗示为甲方、相关单位或个人装修住房、婚丧嫁娶、配偶子女的工作安排以及出国（境）、旅游等提供方便。</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（四）不准以任何理由为甲方、相关单位或个人组织有可能影响公正执行公务的宴请、健身、娱乐等活动。</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第四条　法律和纪律责任</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一）甲方工作人员有违反本责任书第一、二条谋取个人利益行为的，乙方应向甲方或有关机关举报，甲方应按照管理权限调查核实，并依据有关法律法规和规定给予党纪、政纪处分或公司制度项下处分处理；涉嫌犯罪的，向司法机关举报，追究刑事责任。</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二）乙方工作人员有违反本责任书第一、三条谋取个人利益行为的，甲方应向乙方或有关机关举报，乙方应按照管理权限调查核实，并依据有关法律法规和规定给予党纪、政纪处分或公司制度项下处分处理；涉嫌犯罪的，向司法机关举报，追究刑事责任。</w:t>
      </w:r>
    </w:p>
    <w:p>
      <w:pPr>
        <w:tabs>
          <w:tab w:val="left" w:pos="630"/>
        </w:tabs>
        <w:adjustRightInd w:val="0"/>
        <w:spacing w:line="540" w:lineRule="exact"/>
        <w:ind w:firstLine="359" w:firstLineChars="171"/>
        <w:textAlignment w:val="baseline"/>
        <w:rPr>
          <w:rFonts w:ascii="宋体" w:hAnsi="宋体"/>
          <w:color w:val="auto"/>
          <w:kern w:val="0"/>
          <w:szCs w:val="21"/>
          <w:highlight w:val="none"/>
        </w:rPr>
      </w:pPr>
      <w:r>
        <w:rPr>
          <w:rFonts w:hint="eastAsia" w:ascii="宋体" w:hAnsi="宋体"/>
          <w:color w:val="auto"/>
          <w:kern w:val="0"/>
          <w:szCs w:val="21"/>
          <w:highlight w:val="none"/>
        </w:rPr>
        <w:t>（三）A方（指任何一方，下同）向B方（指另一方，下同）有关人员提供前述各条所禁止提供或收受的个人利益的，无论是否依B方有关人员的要求提供，也无论通过何种方式、何人提供，均须承担全部相应的法律责任，包括但不限于赔偿B方因该等不正当收受利益人员有关失职行为所发生的全部损失。B方并有权解除合同。B方有关人员未接受A方所给付的该等利益的，或其接受后未发现其失职造成B方损失的，或B方所发生的损失或部分损失难以计算的,按提供给B方人员个人利益每人次须付50万元计算违约金。</w:t>
      </w:r>
    </w:p>
    <w:p>
      <w:pPr>
        <w:tabs>
          <w:tab w:val="left" w:pos="630"/>
        </w:tabs>
        <w:adjustRightInd w:val="0"/>
        <w:spacing w:line="540" w:lineRule="exact"/>
        <w:ind w:firstLine="359" w:firstLineChars="171"/>
        <w:textAlignment w:val="baseline"/>
        <w:rPr>
          <w:rFonts w:ascii="宋体" w:hAnsi="宋体"/>
          <w:color w:val="auto"/>
          <w:kern w:val="0"/>
          <w:szCs w:val="21"/>
          <w:highlight w:val="none"/>
        </w:rPr>
      </w:pPr>
      <w:r>
        <w:rPr>
          <w:rFonts w:hint="eastAsia" w:ascii="宋体" w:hAnsi="宋体"/>
          <w:color w:val="auto"/>
          <w:kern w:val="0"/>
          <w:szCs w:val="21"/>
          <w:highlight w:val="none"/>
        </w:rPr>
        <w:t>（四）B方有关人员因索要前述禁止的个人利益未成功或因未取得A方给付该等利益而未正常处理有关工作，造成B方违反合同的，B方须向A方承担违约责任，赔偿A方全部损失。</w:t>
      </w:r>
    </w:p>
    <w:p>
      <w:pPr>
        <w:tabs>
          <w:tab w:val="left" w:pos="630"/>
        </w:tabs>
        <w:adjustRightInd w:val="0"/>
        <w:spacing w:line="540" w:lineRule="exact"/>
        <w:ind w:left="1199" w:leftChars="221" w:hanging="735" w:hangingChars="350"/>
        <w:textAlignment w:val="baseline"/>
        <w:rPr>
          <w:rFonts w:ascii="宋体" w:hAnsi="宋体"/>
          <w:color w:val="auto"/>
          <w:kern w:val="0"/>
          <w:szCs w:val="21"/>
          <w:highlight w:val="none"/>
        </w:rPr>
      </w:pPr>
      <w:r>
        <w:rPr>
          <w:rFonts w:hint="eastAsia" w:ascii="宋体" w:hAnsi="宋体"/>
          <w:color w:val="auto"/>
          <w:kern w:val="0"/>
          <w:szCs w:val="21"/>
          <w:highlight w:val="none"/>
        </w:rPr>
        <w:t>第五条　本责任书作为本工程合同的附件，与工程合同具有同等法律效力。</w:t>
      </w:r>
    </w:p>
    <w:p>
      <w:pPr>
        <w:tabs>
          <w:tab w:val="left" w:pos="630"/>
        </w:tabs>
        <w:adjustRightInd w:val="0"/>
        <w:spacing w:line="540" w:lineRule="exac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    第六条　本责任书的有效期为双方签署之日起至本园林绿化工程竣工验收符合合同要求时止。</w:t>
      </w:r>
    </w:p>
    <w:p>
      <w:pPr>
        <w:tabs>
          <w:tab w:val="left" w:pos="630"/>
        </w:tabs>
        <w:adjustRightInd w:val="0"/>
        <w:spacing w:line="540" w:lineRule="exact"/>
        <w:textAlignment w:val="baseline"/>
        <w:rPr>
          <w:rFonts w:ascii="宋体" w:hAnsi="宋体"/>
          <w:color w:val="auto"/>
          <w:kern w:val="0"/>
          <w:sz w:val="22"/>
          <w:highlight w:val="none"/>
        </w:rPr>
      </w:pPr>
      <w:r>
        <w:rPr>
          <w:rFonts w:hint="eastAsia" w:ascii="宋体" w:hAnsi="宋体"/>
          <w:color w:val="auto"/>
          <w:kern w:val="0"/>
          <w:szCs w:val="21"/>
          <w:highlight w:val="none"/>
        </w:rPr>
        <w:t xml:space="preserve">    </w:t>
      </w:r>
      <w:bookmarkStart w:id="498" w:name="_Toc324932383"/>
    </w:p>
    <w:p>
      <w:pPr>
        <w:spacing w:line="720" w:lineRule="auto"/>
        <w:rPr>
          <w:color w:val="auto"/>
          <w:highlight w:val="none"/>
        </w:rPr>
      </w:pPr>
      <w:bookmarkStart w:id="499" w:name="_Toc336355627"/>
      <w:bookmarkStart w:id="500" w:name="_Toc33092216"/>
      <w:r>
        <w:rPr>
          <w:rFonts w:hint="eastAsia"/>
          <w:color w:val="auto"/>
          <w:highlight w:val="none"/>
        </w:rPr>
        <w:t xml:space="preserve">甲方：（盖章） </w:t>
      </w:r>
      <w:r>
        <w:rPr>
          <w:color w:val="auto"/>
          <w:highlight w:val="none"/>
        </w:rPr>
        <w:t xml:space="preserve">                   </w:t>
      </w:r>
      <w:r>
        <w:rPr>
          <w:rFonts w:hint="eastAsia"/>
          <w:color w:val="auto"/>
          <w:highlight w:val="none"/>
        </w:rPr>
        <w:t xml:space="preserve">                 乙方：</w:t>
      </w:r>
      <w:bookmarkEnd w:id="498"/>
      <w:bookmarkEnd w:id="499"/>
      <w:r>
        <w:rPr>
          <w:rFonts w:hint="eastAsia"/>
          <w:color w:val="auto"/>
          <w:highlight w:val="none"/>
        </w:rPr>
        <w:t xml:space="preserve">（盖章） </w:t>
      </w:r>
      <w:r>
        <w:rPr>
          <w:color w:val="auto"/>
          <w:highlight w:val="none"/>
        </w:rPr>
        <w:t xml:space="preserve"> </w:t>
      </w:r>
      <w:bookmarkEnd w:id="500"/>
    </w:p>
    <w:p>
      <w:pPr>
        <w:spacing w:line="720" w:lineRule="auto"/>
        <w:rPr>
          <w:color w:val="auto"/>
          <w:highlight w:val="none"/>
        </w:rPr>
      </w:pPr>
      <w:bookmarkStart w:id="501" w:name="_Toc324932385"/>
      <w:bookmarkStart w:id="502" w:name="_Toc33092217"/>
      <w:bookmarkStart w:id="503" w:name="_Toc336355628"/>
      <w:r>
        <w:rPr>
          <w:rFonts w:hint="eastAsia"/>
          <w:color w:val="auto"/>
          <w:highlight w:val="none"/>
        </w:rPr>
        <w:t xml:space="preserve">法定代表人或授权代表人：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法定代表人或授权代表人：</w:t>
      </w:r>
      <w:bookmarkEnd w:id="501"/>
      <w:bookmarkEnd w:id="502"/>
      <w:bookmarkEnd w:id="503"/>
    </w:p>
    <w:p>
      <w:pPr>
        <w:spacing w:line="720" w:lineRule="auto"/>
        <w:jc w:val="left"/>
        <w:rPr>
          <w:color w:val="auto"/>
          <w:highlight w:val="none"/>
        </w:rPr>
      </w:pPr>
      <w:bookmarkStart w:id="504" w:name="_Toc336355629"/>
      <w:bookmarkStart w:id="505" w:name="_Toc324932386"/>
      <w:r>
        <w:rPr>
          <w:rFonts w:hint="eastAsia"/>
          <w:color w:val="auto"/>
          <w:highlight w:val="none"/>
        </w:rPr>
        <w:t>签约日期：</w:t>
      </w:r>
      <w:bookmarkEnd w:id="504"/>
      <w:bookmarkEnd w:id="505"/>
      <w:r>
        <w:rPr>
          <w:rFonts w:hint="eastAsia"/>
          <w:color w:val="auto"/>
          <w:highlight w:val="none"/>
        </w:rPr>
        <w:t xml:space="preserve">    年      月     日</w:t>
      </w:r>
    </w:p>
    <w:p>
      <w:pPr>
        <w:pStyle w:val="15"/>
        <w:rPr>
          <w:color w:val="auto"/>
          <w:highlight w:val="none"/>
        </w:rPr>
      </w:pPr>
    </w:p>
    <w:p>
      <w:pPr>
        <w:rPr>
          <w:color w:val="auto"/>
          <w:highlight w:val="none"/>
        </w:rPr>
        <w:sectPr>
          <w:headerReference r:id="rId11" w:type="default"/>
          <w:pgSz w:w="11909" w:h="16834"/>
          <w:pgMar w:top="1418" w:right="1134" w:bottom="1418" w:left="1247" w:header="567" w:footer="851" w:gutter="0"/>
          <w:cols w:space="720" w:num="1"/>
          <w:docGrid w:linePitch="312" w:charSpace="0"/>
        </w:sectPr>
      </w:pPr>
    </w:p>
    <w:p>
      <w:pPr>
        <w:pStyle w:val="5"/>
        <w:rPr>
          <w:color w:val="auto"/>
          <w:sz w:val="21"/>
          <w:szCs w:val="21"/>
          <w:highlight w:val="none"/>
        </w:rPr>
      </w:pPr>
      <w:bookmarkStart w:id="506" w:name="_Toc133502226"/>
      <w:bookmarkStart w:id="507" w:name="_Toc33448506"/>
      <w:r>
        <w:rPr>
          <w:rFonts w:hint="eastAsia"/>
          <w:color w:val="auto"/>
          <w:sz w:val="21"/>
          <w:szCs w:val="21"/>
          <w:highlight w:val="none"/>
        </w:rPr>
        <w:t>附件6：拟投入本项目人员</w:t>
      </w:r>
      <w:bookmarkEnd w:id="506"/>
      <w:bookmarkEnd w:id="507"/>
    </w:p>
    <w:p>
      <w:pPr>
        <w:jc w:val="center"/>
        <w:rPr>
          <w:color w:val="auto"/>
          <w:sz w:val="28"/>
          <w:szCs w:val="28"/>
          <w:highlight w:val="none"/>
        </w:rPr>
      </w:pPr>
      <w:r>
        <w:rPr>
          <w:rFonts w:hint="eastAsia"/>
          <w:color w:val="auto"/>
          <w:sz w:val="28"/>
          <w:szCs w:val="28"/>
          <w:highlight w:val="none"/>
        </w:rPr>
        <w:t>拟投入本项目人员（按投标文件）</w:t>
      </w:r>
    </w:p>
    <w:p>
      <w:pPr>
        <w:widowControl/>
        <w:jc w:val="left"/>
        <w:rPr>
          <w:rFonts w:ascii="宋体" w:hAnsi="宋体"/>
          <w:b/>
          <w:bCs/>
          <w:color w:val="auto"/>
          <w:kern w:val="44"/>
          <w:szCs w:val="21"/>
          <w:highlight w:val="none"/>
        </w:rPr>
      </w:pPr>
      <w:r>
        <w:rPr>
          <w:color w:val="auto"/>
          <w:szCs w:val="21"/>
          <w:highlight w:val="none"/>
        </w:rPr>
        <w:br w:type="page"/>
      </w:r>
    </w:p>
    <w:p>
      <w:pPr>
        <w:pStyle w:val="5"/>
        <w:rPr>
          <w:bCs w:val="0"/>
          <w:color w:val="auto"/>
          <w:sz w:val="21"/>
          <w:szCs w:val="21"/>
          <w:highlight w:val="none"/>
        </w:rPr>
      </w:pPr>
      <w:bookmarkStart w:id="508" w:name="_Toc33448508"/>
      <w:bookmarkStart w:id="509" w:name="_Toc133502227"/>
      <w:r>
        <w:rPr>
          <w:rFonts w:hint="eastAsia"/>
          <w:bCs w:val="0"/>
          <w:color w:val="auto"/>
          <w:sz w:val="21"/>
          <w:szCs w:val="21"/>
          <w:highlight w:val="none"/>
        </w:rPr>
        <w:t>附件7：报价工程量清单（另册）</w:t>
      </w:r>
      <w:bookmarkEnd w:id="508"/>
      <w:bookmarkEnd w:id="509"/>
    </w:p>
    <w:p>
      <w:pPr>
        <w:widowControl/>
        <w:jc w:val="left"/>
        <w:rPr>
          <w:color w:val="auto"/>
          <w:highlight w:val="none"/>
        </w:rPr>
      </w:pPr>
      <w:r>
        <w:rPr>
          <w:color w:val="auto"/>
          <w:highlight w:val="none"/>
        </w:rPr>
        <w:br w:type="page"/>
      </w:r>
    </w:p>
    <w:p>
      <w:pPr>
        <w:pStyle w:val="5"/>
        <w:rPr>
          <w:bCs w:val="0"/>
          <w:color w:val="auto"/>
          <w:sz w:val="21"/>
          <w:szCs w:val="21"/>
          <w:highlight w:val="none"/>
        </w:rPr>
      </w:pPr>
      <w:bookmarkStart w:id="510" w:name="_Toc33448510"/>
      <w:bookmarkStart w:id="511" w:name="_Toc133502228"/>
      <w:r>
        <w:rPr>
          <w:rFonts w:hint="eastAsia"/>
          <w:bCs w:val="0"/>
          <w:color w:val="auto"/>
          <w:sz w:val="21"/>
          <w:szCs w:val="21"/>
          <w:highlight w:val="none"/>
        </w:rPr>
        <w:t>附件8：图纸目录（另册）</w:t>
      </w:r>
      <w:bookmarkEnd w:id="510"/>
      <w:bookmarkEnd w:id="511"/>
    </w:p>
    <w:p>
      <w:pPr>
        <w:pStyle w:val="5"/>
        <w:rPr>
          <w:color w:val="auto"/>
          <w:sz w:val="21"/>
          <w:szCs w:val="21"/>
          <w:highlight w:val="none"/>
        </w:rPr>
      </w:pPr>
    </w:p>
    <w:sectPr>
      <w:pgSz w:w="11909" w:h="16834"/>
      <w:pgMar w:top="1418" w:right="1134" w:bottom="1418" w:left="124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_GB2312">
    <w:altName w:val="仿宋"/>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PAGE  \* Arabic  \* MERGEFORMAT</w:instrText>
    </w:r>
    <w:r>
      <w:rPr>
        <w:rFonts w:ascii="宋体" w:hAnsi="宋体"/>
        <w:sz w:val="18"/>
        <w:szCs w:val="18"/>
      </w:rPr>
      <w:fldChar w:fldCharType="separate"/>
    </w:r>
    <w:r>
      <w:rPr>
        <w:rFonts w:ascii="宋体" w:hAnsi="宋体"/>
        <w:sz w:val="18"/>
        <w:szCs w:val="18"/>
        <w:lang w:val="zh-CN"/>
      </w:rPr>
      <w:t>7</w:t>
    </w:r>
    <w:r>
      <w:rPr>
        <w:rFonts w:ascii="宋体" w:hAnsi="宋体"/>
        <w:sz w:val="18"/>
        <w:szCs w:val="18"/>
      </w:rPr>
      <w:fldChar w:fldCharType="end"/>
    </w:r>
    <w:r>
      <w:rPr>
        <w:rFonts w:ascii="宋体" w:hAnsi="宋体"/>
        <w:sz w:val="18"/>
        <w:szCs w:val="18"/>
        <w:lang w:val="zh-CN"/>
      </w:rPr>
      <w:t xml:space="preserve"> / </w:t>
    </w:r>
    <w:r>
      <w:rPr>
        <w:rFonts w:ascii="宋体" w:hAnsi="宋体"/>
        <w:sz w:val="18"/>
        <w:szCs w:val="18"/>
      </w:rPr>
      <w:fldChar w:fldCharType="begin"/>
    </w:r>
    <w:r>
      <w:rPr>
        <w:rFonts w:ascii="宋体" w:hAnsi="宋体"/>
        <w:sz w:val="18"/>
        <w:szCs w:val="18"/>
      </w:rPr>
      <w:instrText xml:space="preserve">NUMPAGES  \* Arabic  \* MERGEFORMAT</w:instrText>
    </w:r>
    <w:r>
      <w:rPr>
        <w:rFonts w:ascii="宋体" w:hAnsi="宋体"/>
        <w:sz w:val="18"/>
        <w:szCs w:val="18"/>
      </w:rPr>
      <w:fldChar w:fldCharType="separate"/>
    </w:r>
    <w:r>
      <w:rPr>
        <w:rFonts w:ascii="宋体" w:hAnsi="宋体"/>
        <w:sz w:val="18"/>
        <w:szCs w:val="18"/>
      </w:rPr>
      <w:t>120</w:t>
    </w:r>
    <w:r>
      <w:rPr>
        <w:rFonts w:ascii="宋体" w:hAnsi="宋体"/>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PAGE  \* Arabic  \* MERGEFORMAT</w:instrText>
    </w:r>
    <w:r>
      <w:rPr>
        <w:rFonts w:ascii="宋体" w:hAnsi="宋体"/>
        <w:sz w:val="18"/>
        <w:szCs w:val="18"/>
      </w:rPr>
      <w:fldChar w:fldCharType="separate"/>
    </w:r>
    <w:r>
      <w:rPr>
        <w:rFonts w:ascii="宋体" w:hAnsi="宋体"/>
        <w:sz w:val="18"/>
        <w:szCs w:val="18"/>
        <w:lang w:val="zh-CN"/>
      </w:rPr>
      <w:t>82</w:t>
    </w:r>
    <w:r>
      <w:rPr>
        <w:rFonts w:ascii="宋体" w:hAnsi="宋体"/>
        <w:sz w:val="18"/>
        <w:szCs w:val="18"/>
      </w:rPr>
      <w:fldChar w:fldCharType="end"/>
    </w:r>
    <w:r>
      <w:rPr>
        <w:rFonts w:ascii="宋体" w:hAnsi="宋体"/>
        <w:sz w:val="18"/>
        <w:szCs w:val="18"/>
        <w:lang w:val="zh-CN"/>
      </w:rPr>
      <w:t xml:space="preserve"> / </w:t>
    </w:r>
    <w:r>
      <w:rPr>
        <w:rFonts w:ascii="宋体" w:hAnsi="宋体"/>
        <w:sz w:val="18"/>
        <w:szCs w:val="18"/>
      </w:rPr>
      <w:fldChar w:fldCharType="begin"/>
    </w:r>
    <w:r>
      <w:rPr>
        <w:rFonts w:ascii="宋体" w:hAnsi="宋体"/>
        <w:sz w:val="18"/>
        <w:szCs w:val="18"/>
      </w:rPr>
      <w:instrText xml:space="preserve">NUMPAGES  \* Arabic  \* MERGEFORMAT</w:instrText>
    </w:r>
    <w:r>
      <w:rPr>
        <w:rFonts w:ascii="宋体" w:hAnsi="宋体"/>
        <w:sz w:val="18"/>
        <w:szCs w:val="18"/>
      </w:rPr>
      <w:fldChar w:fldCharType="separate"/>
    </w:r>
    <w:r>
      <w:rPr>
        <w:rFonts w:ascii="宋体" w:hAnsi="宋体"/>
        <w:sz w:val="18"/>
        <w:szCs w:val="18"/>
      </w:rPr>
      <w:t>120</w:t>
    </w:r>
    <w:r>
      <w:rPr>
        <w:rFonts w:ascii="宋体" w:hAnsi="宋体"/>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PAGE  \* Arabic  \* MERGEFORMAT</w:instrText>
    </w:r>
    <w:r>
      <w:rPr>
        <w:rFonts w:ascii="宋体" w:hAnsi="宋体"/>
        <w:sz w:val="18"/>
        <w:szCs w:val="18"/>
      </w:rPr>
      <w:fldChar w:fldCharType="separate"/>
    </w:r>
    <w:r>
      <w:rPr>
        <w:rFonts w:ascii="宋体" w:hAnsi="宋体"/>
        <w:sz w:val="18"/>
        <w:szCs w:val="18"/>
        <w:lang w:val="zh-CN"/>
      </w:rPr>
      <w:t>8</w:t>
    </w:r>
    <w:r>
      <w:rPr>
        <w:rFonts w:ascii="宋体" w:hAnsi="宋体"/>
        <w:sz w:val="18"/>
        <w:szCs w:val="18"/>
      </w:rPr>
      <w:fldChar w:fldCharType="end"/>
    </w:r>
    <w:r>
      <w:rPr>
        <w:rFonts w:ascii="宋体" w:hAnsi="宋体"/>
        <w:sz w:val="18"/>
        <w:szCs w:val="18"/>
        <w:lang w:val="zh-CN"/>
      </w:rPr>
      <w:t xml:space="preserve"> / </w:t>
    </w:r>
    <w:r>
      <w:rPr>
        <w:rFonts w:ascii="宋体" w:hAnsi="宋体"/>
        <w:sz w:val="18"/>
        <w:szCs w:val="18"/>
        <w:lang w:val="zh-CN"/>
      </w:rPr>
      <w:fldChar w:fldCharType="begin"/>
    </w:r>
    <w:r>
      <w:rPr>
        <w:rFonts w:ascii="宋体" w:hAnsi="宋体"/>
        <w:sz w:val="18"/>
        <w:szCs w:val="18"/>
        <w:lang w:val="zh-CN"/>
      </w:rPr>
      <w:instrText xml:space="preserve">NUMPAGES  \* Arabic  \* MERGEFORMAT</w:instrText>
    </w:r>
    <w:r>
      <w:rPr>
        <w:rFonts w:ascii="宋体" w:hAnsi="宋体"/>
        <w:sz w:val="18"/>
        <w:szCs w:val="18"/>
        <w:lang w:val="zh-CN"/>
      </w:rPr>
      <w:fldChar w:fldCharType="separate"/>
    </w:r>
    <w:r>
      <w:rPr>
        <w:rFonts w:ascii="宋体" w:hAnsi="宋体"/>
        <w:sz w:val="18"/>
        <w:szCs w:val="18"/>
        <w:lang w:val="zh-CN"/>
      </w:rPr>
      <w:t>120</w:t>
    </w:r>
    <w:r>
      <w:rPr>
        <w:rFonts w:ascii="宋体" w:hAnsi="宋体"/>
        <w:sz w:val="18"/>
        <w:szCs w:val="18"/>
        <w:lang w:val="zh-CN"/>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eastAsia="楷体"/>
        <w:sz w:val="16"/>
      </w:rPr>
    </w:pPr>
  </w:p>
  <w:p>
    <w:pPr>
      <w:pStyle w:val="29"/>
      <w:rPr>
        <w:rFonts w:eastAsia="楷体"/>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eastAsia="楷体"/>
        <w:b/>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4576"/>
    <w:multiLevelType w:val="multilevel"/>
    <w:tmpl w:val="0D3B4576"/>
    <w:lvl w:ilvl="0" w:tentative="0">
      <w:start w:val="1"/>
      <w:numFmt w:val="decimal"/>
      <w:pStyle w:val="8"/>
      <w:lvlText w:val="%1)"/>
      <w:lvlJc w:val="left"/>
      <w:pPr>
        <w:ind w:left="987"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
    <w:nsid w:val="201B64B8"/>
    <w:multiLevelType w:val="multilevel"/>
    <w:tmpl w:val="201B64B8"/>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3B20E93"/>
    <w:multiLevelType w:val="multilevel"/>
    <w:tmpl w:val="23B20E93"/>
    <w:lvl w:ilvl="0" w:tentative="0">
      <w:start w:val="1"/>
      <w:numFmt w:val="lowerLetter"/>
      <w:pStyle w:val="9"/>
      <w:lvlText w:val="%1）"/>
      <w:lvlJc w:val="left"/>
      <w:pPr>
        <w:ind w:left="846" w:hanging="420"/>
      </w:pPr>
      <w:rPr>
        <w:rFonts w:hint="eastAsia"/>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3">
    <w:nsid w:val="37F72BD9"/>
    <w:multiLevelType w:val="multilevel"/>
    <w:tmpl w:val="37F72BD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38D9113D"/>
    <w:multiLevelType w:val="multilevel"/>
    <w:tmpl w:val="38D9113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1418"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4BDD1E06"/>
    <w:multiLevelType w:val="multilevel"/>
    <w:tmpl w:val="4BDD1E06"/>
    <w:lvl w:ilvl="0" w:tentative="0">
      <w:start w:val="5"/>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7F3546"/>
    <w:multiLevelType w:val="multilevel"/>
    <w:tmpl w:val="517F3546"/>
    <w:lvl w:ilvl="0" w:tentative="0">
      <w:start w:val="1"/>
      <w:numFmt w:val="japaneseCounting"/>
      <w:lvlText w:val="%1、"/>
      <w:lvlJc w:val="left"/>
      <w:pPr>
        <w:ind w:left="480" w:hanging="4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3826F90"/>
    <w:multiLevelType w:val="multilevel"/>
    <w:tmpl w:val="53826F90"/>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3D121B"/>
    <w:multiLevelType w:val="multilevel"/>
    <w:tmpl w:val="623D121B"/>
    <w:lvl w:ilvl="0" w:tentative="0">
      <w:start w:val="1"/>
      <w:numFmt w:val="decimal"/>
      <w:pStyle w:val="56"/>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E161EE9"/>
    <w:multiLevelType w:val="multilevel"/>
    <w:tmpl w:val="6E161EE9"/>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E4D4E5E"/>
    <w:multiLevelType w:val="multilevel"/>
    <w:tmpl w:val="6E4D4E5E"/>
    <w:lvl w:ilvl="0" w:tentative="0">
      <w:start w:val="1"/>
      <w:numFmt w:val="decimal"/>
      <w:lvlText w:val="%1."/>
      <w:lvlJc w:val="left"/>
      <w:pPr>
        <w:ind w:left="562" w:hanging="420"/>
      </w:pPr>
      <w:rPr>
        <w:rFonts w:hint="eastAsia" w:ascii="宋体" w:eastAsia="宋体"/>
        <w:b w:val="0"/>
        <w:i w:val="0"/>
        <w:caps w:val="0"/>
        <w:strike w:val="0"/>
        <w:dstrike w:val="0"/>
        <w:snapToGrid w:val="0"/>
        <w:color w:val="000000"/>
        <w:spacing w:val="0"/>
        <w:w w:val="100"/>
        <w:kern w:val="0"/>
        <w:position w:val="0"/>
        <w:sz w:val="28"/>
      </w:rPr>
    </w:lvl>
    <w:lvl w:ilvl="1" w:tentative="0">
      <w:start w:val="1"/>
      <w:numFmt w:val="decimal"/>
      <w:isLgl/>
      <w:lvlText w:val="%1.%2."/>
      <w:lvlJc w:val="left"/>
      <w:pPr>
        <w:ind w:left="420" w:hanging="420"/>
      </w:pPr>
      <w:rPr>
        <w:rFonts w:hint="default"/>
      </w:rPr>
    </w:lvl>
    <w:lvl w:ilvl="2" w:tentative="0">
      <w:start w:val="1"/>
      <w:numFmt w:val="decimal"/>
      <w:lvlText w:val="%1.%2.%3."/>
      <w:lvlJc w:val="left"/>
      <w:pPr>
        <w:ind w:left="1004"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lvlText w:val="%5、"/>
      <w:lvlJc w:val="left"/>
      <w:pPr>
        <w:ind w:left="360" w:hanging="36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1">
    <w:nsid w:val="73E453C7"/>
    <w:multiLevelType w:val="multilevel"/>
    <w:tmpl w:val="73E453C7"/>
    <w:lvl w:ilvl="0" w:tentative="0">
      <w:start w:val="1"/>
      <w:numFmt w:val="decimal"/>
      <w:lvlText w:val="%1."/>
      <w:lvlJc w:val="left"/>
      <w:pPr>
        <w:ind w:left="420" w:hanging="420"/>
      </w:pPr>
    </w:lvl>
    <w:lvl w:ilvl="1" w:tentative="0">
      <w:start w:val="1"/>
      <w:numFmt w:val="decimal"/>
      <w:isLgl/>
      <w:lvlText w:val="%1.%2."/>
      <w:lvlJc w:val="left"/>
      <w:pPr>
        <w:ind w:left="720" w:hanging="720"/>
      </w:pPr>
      <w:rPr>
        <w:rFonts w:hint="default"/>
      </w:rPr>
    </w:lvl>
    <w:lvl w:ilvl="2" w:tentative="0">
      <w:start w:val="2"/>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0"/>
  </w:num>
  <w:num w:numId="2">
    <w:abstractNumId w:val="2"/>
  </w:num>
  <w:num w:numId="3">
    <w:abstractNumId w:val="8"/>
  </w:num>
  <w:num w:numId="4">
    <w:abstractNumId w:val="4"/>
  </w:num>
  <w:num w:numId="5">
    <w:abstractNumId w:val="3"/>
  </w:num>
  <w:num w:numId="6">
    <w:abstractNumId w:val="10"/>
  </w:num>
  <w:num w:numId="7">
    <w:abstractNumId w:val="0"/>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
  </w:num>
  <w:num w:numId="44">
    <w:abstractNumId w:val="5"/>
  </w:num>
  <w:num w:numId="45">
    <w:abstractNumId w:val="6"/>
  </w:num>
  <w:num w:numId="46">
    <w:abstractNumId w:val="9"/>
    <w:lvlOverride w:ilvl="0">
      <w:startOverride w:val="1"/>
    </w:lvlOverride>
  </w:num>
  <w:num w:numId="4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hideSpellingErrors/>
  <w:documentProtection w:enforcement="0"/>
  <w:defaultTabStop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5MDE0ZGRiMjVkODVlMDlmN2UzZTRiZGM2YWQyMzEifQ=="/>
  </w:docVars>
  <w:rsids>
    <w:rsidRoot w:val="000D16B3"/>
    <w:rsid w:val="00001983"/>
    <w:rsid w:val="00001A44"/>
    <w:rsid w:val="00001DD4"/>
    <w:rsid w:val="00002B3A"/>
    <w:rsid w:val="00002EF0"/>
    <w:rsid w:val="00003553"/>
    <w:rsid w:val="000040E0"/>
    <w:rsid w:val="000053CC"/>
    <w:rsid w:val="000067A4"/>
    <w:rsid w:val="00006D6F"/>
    <w:rsid w:val="0001037F"/>
    <w:rsid w:val="00010659"/>
    <w:rsid w:val="000109DE"/>
    <w:rsid w:val="00011C72"/>
    <w:rsid w:val="00013F5B"/>
    <w:rsid w:val="0001466A"/>
    <w:rsid w:val="00015945"/>
    <w:rsid w:val="0001603B"/>
    <w:rsid w:val="0001621C"/>
    <w:rsid w:val="00016E25"/>
    <w:rsid w:val="0001732B"/>
    <w:rsid w:val="000175A0"/>
    <w:rsid w:val="00017F7E"/>
    <w:rsid w:val="00021FCD"/>
    <w:rsid w:val="00023815"/>
    <w:rsid w:val="00025A8E"/>
    <w:rsid w:val="000264F5"/>
    <w:rsid w:val="00027719"/>
    <w:rsid w:val="000325E9"/>
    <w:rsid w:val="00032745"/>
    <w:rsid w:val="00033CB2"/>
    <w:rsid w:val="0003435D"/>
    <w:rsid w:val="000351CB"/>
    <w:rsid w:val="00035238"/>
    <w:rsid w:val="00035534"/>
    <w:rsid w:val="000358E8"/>
    <w:rsid w:val="00035F7B"/>
    <w:rsid w:val="000369B6"/>
    <w:rsid w:val="000373B3"/>
    <w:rsid w:val="0003793C"/>
    <w:rsid w:val="00037A4E"/>
    <w:rsid w:val="000405F9"/>
    <w:rsid w:val="00040DB4"/>
    <w:rsid w:val="0004240E"/>
    <w:rsid w:val="0004282C"/>
    <w:rsid w:val="00042C43"/>
    <w:rsid w:val="000438F6"/>
    <w:rsid w:val="00043C2D"/>
    <w:rsid w:val="00044004"/>
    <w:rsid w:val="000446B5"/>
    <w:rsid w:val="00044BBB"/>
    <w:rsid w:val="00045500"/>
    <w:rsid w:val="00045853"/>
    <w:rsid w:val="000458B6"/>
    <w:rsid w:val="00045C0F"/>
    <w:rsid w:val="0004717E"/>
    <w:rsid w:val="000502CC"/>
    <w:rsid w:val="00050613"/>
    <w:rsid w:val="000506AA"/>
    <w:rsid w:val="00053280"/>
    <w:rsid w:val="00056980"/>
    <w:rsid w:val="00057901"/>
    <w:rsid w:val="00060887"/>
    <w:rsid w:val="00060D6E"/>
    <w:rsid w:val="00060DC3"/>
    <w:rsid w:val="00060F74"/>
    <w:rsid w:val="00060FB2"/>
    <w:rsid w:val="000611DD"/>
    <w:rsid w:val="00064104"/>
    <w:rsid w:val="0006473A"/>
    <w:rsid w:val="00064C85"/>
    <w:rsid w:val="00065F4C"/>
    <w:rsid w:val="00066933"/>
    <w:rsid w:val="00067B28"/>
    <w:rsid w:val="0007016E"/>
    <w:rsid w:val="00072045"/>
    <w:rsid w:val="00074721"/>
    <w:rsid w:val="00075ECD"/>
    <w:rsid w:val="00076D29"/>
    <w:rsid w:val="00076F0B"/>
    <w:rsid w:val="00077F34"/>
    <w:rsid w:val="000808A1"/>
    <w:rsid w:val="00080FFD"/>
    <w:rsid w:val="0008178F"/>
    <w:rsid w:val="00081AA2"/>
    <w:rsid w:val="00081E24"/>
    <w:rsid w:val="0008265B"/>
    <w:rsid w:val="00083D30"/>
    <w:rsid w:val="000840CB"/>
    <w:rsid w:val="000846CD"/>
    <w:rsid w:val="000848AA"/>
    <w:rsid w:val="00085DA8"/>
    <w:rsid w:val="000862C1"/>
    <w:rsid w:val="00087AF0"/>
    <w:rsid w:val="00091A60"/>
    <w:rsid w:val="000929AE"/>
    <w:rsid w:val="00094C1F"/>
    <w:rsid w:val="00094DE0"/>
    <w:rsid w:val="0009510E"/>
    <w:rsid w:val="000958E4"/>
    <w:rsid w:val="000959BE"/>
    <w:rsid w:val="00097ECA"/>
    <w:rsid w:val="000A1A88"/>
    <w:rsid w:val="000A25C2"/>
    <w:rsid w:val="000A310C"/>
    <w:rsid w:val="000A4077"/>
    <w:rsid w:val="000A453B"/>
    <w:rsid w:val="000A609D"/>
    <w:rsid w:val="000B0024"/>
    <w:rsid w:val="000B2417"/>
    <w:rsid w:val="000B4135"/>
    <w:rsid w:val="000B41E9"/>
    <w:rsid w:val="000B5C9D"/>
    <w:rsid w:val="000B65F9"/>
    <w:rsid w:val="000B71F5"/>
    <w:rsid w:val="000C0045"/>
    <w:rsid w:val="000C133D"/>
    <w:rsid w:val="000C1BC4"/>
    <w:rsid w:val="000C2575"/>
    <w:rsid w:val="000C283B"/>
    <w:rsid w:val="000C2CA7"/>
    <w:rsid w:val="000C3107"/>
    <w:rsid w:val="000C39B4"/>
    <w:rsid w:val="000C3B56"/>
    <w:rsid w:val="000C4313"/>
    <w:rsid w:val="000C469C"/>
    <w:rsid w:val="000C5A4C"/>
    <w:rsid w:val="000C6B08"/>
    <w:rsid w:val="000D16B3"/>
    <w:rsid w:val="000D3879"/>
    <w:rsid w:val="000D46AE"/>
    <w:rsid w:val="000D5435"/>
    <w:rsid w:val="000D713E"/>
    <w:rsid w:val="000D730E"/>
    <w:rsid w:val="000E00FD"/>
    <w:rsid w:val="000E1D05"/>
    <w:rsid w:val="000E4235"/>
    <w:rsid w:val="000E59A6"/>
    <w:rsid w:val="000E5F2D"/>
    <w:rsid w:val="000E7068"/>
    <w:rsid w:val="000E70A5"/>
    <w:rsid w:val="000E73A3"/>
    <w:rsid w:val="000E746E"/>
    <w:rsid w:val="000E7503"/>
    <w:rsid w:val="000F023C"/>
    <w:rsid w:val="000F04F3"/>
    <w:rsid w:val="000F17F3"/>
    <w:rsid w:val="000F2D6C"/>
    <w:rsid w:val="000F3036"/>
    <w:rsid w:val="000F4B95"/>
    <w:rsid w:val="000F4BA8"/>
    <w:rsid w:val="000F4E18"/>
    <w:rsid w:val="000F62FD"/>
    <w:rsid w:val="000F6414"/>
    <w:rsid w:val="001010DB"/>
    <w:rsid w:val="00101335"/>
    <w:rsid w:val="001015BC"/>
    <w:rsid w:val="0010253F"/>
    <w:rsid w:val="00102738"/>
    <w:rsid w:val="00102904"/>
    <w:rsid w:val="00103125"/>
    <w:rsid w:val="001035B5"/>
    <w:rsid w:val="0010588B"/>
    <w:rsid w:val="00105C57"/>
    <w:rsid w:val="00106241"/>
    <w:rsid w:val="001110A3"/>
    <w:rsid w:val="0011118A"/>
    <w:rsid w:val="00111520"/>
    <w:rsid w:val="00111863"/>
    <w:rsid w:val="001118ED"/>
    <w:rsid w:val="00111E28"/>
    <w:rsid w:val="0011357F"/>
    <w:rsid w:val="001172EE"/>
    <w:rsid w:val="001176F5"/>
    <w:rsid w:val="00117B0D"/>
    <w:rsid w:val="00120E81"/>
    <w:rsid w:val="00121909"/>
    <w:rsid w:val="00121924"/>
    <w:rsid w:val="00122668"/>
    <w:rsid w:val="00124411"/>
    <w:rsid w:val="001248DD"/>
    <w:rsid w:val="0012545A"/>
    <w:rsid w:val="0012647F"/>
    <w:rsid w:val="00127ECE"/>
    <w:rsid w:val="00130128"/>
    <w:rsid w:val="001321F6"/>
    <w:rsid w:val="00132EE6"/>
    <w:rsid w:val="00133B17"/>
    <w:rsid w:val="001345E9"/>
    <w:rsid w:val="00134874"/>
    <w:rsid w:val="001348A3"/>
    <w:rsid w:val="001352C9"/>
    <w:rsid w:val="0013584C"/>
    <w:rsid w:val="00135E9B"/>
    <w:rsid w:val="00136B59"/>
    <w:rsid w:val="001373B2"/>
    <w:rsid w:val="00137DE3"/>
    <w:rsid w:val="00141C7C"/>
    <w:rsid w:val="0014352F"/>
    <w:rsid w:val="00147B4A"/>
    <w:rsid w:val="001526F3"/>
    <w:rsid w:val="00153A6B"/>
    <w:rsid w:val="001541F4"/>
    <w:rsid w:val="001543E9"/>
    <w:rsid w:val="00154B9B"/>
    <w:rsid w:val="00155457"/>
    <w:rsid w:val="0015596A"/>
    <w:rsid w:val="00156098"/>
    <w:rsid w:val="00156803"/>
    <w:rsid w:val="00157E11"/>
    <w:rsid w:val="00160FE6"/>
    <w:rsid w:val="0016367C"/>
    <w:rsid w:val="001658F1"/>
    <w:rsid w:val="00165C1F"/>
    <w:rsid w:val="00165D00"/>
    <w:rsid w:val="00166315"/>
    <w:rsid w:val="00166542"/>
    <w:rsid w:val="0016701D"/>
    <w:rsid w:val="001677AA"/>
    <w:rsid w:val="0016790D"/>
    <w:rsid w:val="00170944"/>
    <w:rsid w:val="00170BDF"/>
    <w:rsid w:val="0017288A"/>
    <w:rsid w:val="00172B73"/>
    <w:rsid w:val="001740B5"/>
    <w:rsid w:val="001752FA"/>
    <w:rsid w:val="00175E22"/>
    <w:rsid w:val="0017787C"/>
    <w:rsid w:val="00177FCB"/>
    <w:rsid w:val="00180D69"/>
    <w:rsid w:val="0018151F"/>
    <w:rsid w:val="001824F8"/>
    <w:rsid w:val="00183A89"/>
    <w:rsid w:val="00184D23"/>
    <w:rsid w:val="00184EEA"/>
    <w:rsid w:val="00186B20"/>
    <w:rsid w:val="00187000"/>
    <w:rsid w:val="001902C0"/>
    <w:rsid w:val="00191770"/>
    <w:rsid w:val="0019209F"/>
    <w:rsid w:val="00193CCA"/>
    <w:rsid w:val="00193D1B"/>
    <w:rsid w:val="0019401B"/>
    <w:rsid w:val="001941E7"/>
    <w:rsid w:val="0019709E"/>
    <w:rsid w:val="001973DE"/>
    <w:rsid w:val="001A0E9A"/>
    <w:rsid w:val="001A24F4"/>
    <w:rsid w:val="001A289A"/>
    <w:rsid w:val="001A3BB8"/>
    <w:rsid w:val="001A438A"/>
    <w:rsid w:val="001A43EB"/>
    <w:rsid w:val="001A4DB5"/>
    <w:rsid w:val="001A6E3B"/>
    <w:rsid w:val="001A74CF"/>
    <w:rsid w:val="001A7571"/>
    <w:rsid w:val="001A7606"/>
    <w:rsid w:val="001A7995"/>
    <w:rsid w:val="001A7FE1"/>
    <w:rsid w:val="001B10FB"/>
    <w:rsid w:val="001B168D"/>
    <w:rsid w:val="001B257C"/>
    <w:rsid w:val="001B2C05"/>
    <w:rsid w:val="001B2EDA"/>
    <w:rsid w:val="001B307E"/>
    <w:rsid w:val="001B3743"/>
    <w:rsid w:val="001B38C5"/>
    <w:rsid w:val="001B583A"/>
    <w:rsid w:val="001B655A"/>
    <w:rsid w:val="001B7C5B"/>
    <w:rsid w:val="001C0842"/>
    <w:rsid w:val="001C0DFD"/>
    <w:rsid w:val="001C1539"/>
    <w:rsid w:val="001C1D68"/>
    <w:rsid w:val="001C34FC"/>
    <w:rsid w:val="001C4029"/>
    <w:rsid w:val="001C6DED"/>
    <w:rsid w:val="001C729C"/>
    <w:rsid w:val="001C73F2"/>
    <w:rsid w:val="001D0C1C"/>
    <w:rsid w:val="001D19CA"/>
    <w:rsid w:val="001D2566"/>
    <w:rsid w:val="001D25D4"/>
    <w:rsid w:val="001D3ACC"/>
    <w:rsid w:val="001D574F"/>
    <w:rsid w:val="001D57CD"/>
    <w:rsid w:val="001D5F6B"/>
    <w:rsid w:val="001D6B3B"/>
    <w:rsid w:val="001E09FD"/>
    <w:rsid w:val="001E0E7A"/>
    <w:rsid w:val="001E0F23"/>
    <w:rsid w:val="001E1EAF"/>
    <w:rsid w:val="001E265F"/>
    <w:rsid w:val="001E2F1F"/>
    <w:rsid w:val="001E438B"/>
    <w:rsid w:val="001E43AA"/>
    <w:rsid w:val="001E4AF5"/>
    <w:rsid w:val="001E4C41"/>
    <w:rsid w:val="001E60AA"/>
    <w:rsid w:val="001E6D40"/>
    <w:rsid w:val="001E6D6C"/>
    <w:rsid w:val="001E7740"/>
    <w:rsid w:val="001E7953"/>
    <w:rsid w:val="001E79E0"/>
    <w:rsid w:val="001F0126"/>
    <w:rsid w:val="001F01B0"/>
    <w:rsid w:val="001F08E1"/>
    <w:rsid w:val="001F110C"/>
    <w:rsid w:val="001F2AEA"/>
    <w:rsid w:val="001F30D6"/>
    <w:rsid w:val="001F4875"/>
    <w:rsid w:val="001F5BDD"/>
    <w:rsid w:val="001F699B"/>
    <w:rsid w:val="00200436"/>
    <w:rsid w:val="00200E5F"/>
    <w:rsid w:val="0020119D"/>
    <w:rsid w:val="00201E30"/>
    <w:rsid w:val="0020535C"/>
    <w:rsid w:val="002057A4"/>
    <w:rsid w:val="002064B1"/>
    <w:rsid w:val="00207759"/>
    <w:rsid w:val="00210C51"/>
    <w:rsid w:val="00212124"/>
    <w:rsid w:val="002127FD"/>
    <w:rsid w:val="00213683"/>
    <w:rsid w:val="00213CC3"/>
    <w:rsid w:val="00214742"/>
    <w:rsid w:val="0021505A"/>
    <w:rsid w:val="0021526A"/>
    <w:rsid w:val="0021610E"/>
    <w:rsid w:val="00221D45"/>
    <w:rsid w:val="002227F9"/>
    <w:rsid w:val="00222DE7"/>
    <w:rsid w:val="0022438E"/>
    <w:rsid w:val="002247A5"/>
    <w:rsid w:val="00226D26"/>
    <w:rsid w:val="00227EC7"/>
    <w:rsid w:val="00232181"/>
    <w:rsid w:val="00233EF8"/>
    <w:rsid w:val="0023412C"/>
    <w:rsid w:val="00234276"/>
    <w:rsid w:val="0023458C"/>
    <w:rsid w:val="00234C5E"/>
    <w:rsid w:val="00234FB5"/>
    <w:rsid w:val="0023527D"/>
    <w:rsid w:val="0023558E"/>
    <w:rsid w:val="0023613E"/>
    <w:rsid w:val="002361BA"/>
    <w:rsid w:val="00237812"/>
    <w:rsid w:val="002409E1"/>
    <w:rsid w:val="0024233E"/>
    <w:rsid w:val="00242510"/>
    <w:rsid w:val="002428F2"/>
    <w:rsid w:val="0024384E"/>
    <w:rsid w:val="00243953"/>
    <w:rsid w:val="00245D7C"/>
    <w:rsid w:val="0024690C"/>
    <w:rsid w:val="00246A08"/>
    <w:rsid w:val="00246F13"/>
    <w:rsid w:val="002470E9"/>
    <w:rsid w:val="0025079F"/>
    <w:rsid w:val="00250FC0"/>
    <w:rsid w:val="00251EFB"/>
    <w:rsid w:val="00252652"/>
    <w:rsid w:val="00252A9E"/>
    <w:rsid w:val="00252D85"/>
    <w:rsid w:val="00253F98"/>
    <w:rsid w:val="00255C5C"/>
    <w:rsid w:val="00257F0F"/>
    <w:rsid w:val="002603CD"/>
    <w:rsid w:val="002612CC"/>
    <w:rsid w:val="00263C74"/>
    <w:rsid w:val="00265F6C"/>
    <w:rsid w:val="00267323"/>
    <w:rsid w:val="00267B6F"/>
    <w:rsid w:val="00267D16"/>
    <w:rsid w:val="00267D54"/>
    <w:rsid w:val="0027092F"/>
    <w:rsid w:val="002712CA"/>
    <w:rsid w:val="00271EFA"/>
    <w:rsid w:val="002729C0"/>
    <w:rsid w:val="00275FA0"/>
    <w:rsid w:val="002760F7"/>
    <w:rsid w:val="00277250"/>
    <w:rsid w:val="0027773C"/>
    <w:rsid w:val="00277D7A"/>
    <w:rsid w:val="0028073B"/>
    <w:rsid w:val="00280BCF"/>
    <w:rsid w:val="002811BA"/>
    <w:rsid w:val="002814F7"/>
    <w:rsid w:val="002815C5"/>
    <w:rsid w:val="00281E18"/>
    <w:rsid w:val="00283AAF"/>
    <w:rsid w:val="00284F5C"/>
    <w:rsid w:val="002858D6"/>
    <w:rsid w:val="0028645F"/>
    <w:rsid w:val="00287280"/>
    <w:rsid w:val="002876CF"/>
    <w:rsid w:val="00290F72"/>
    <w:rsid w:val="00291496"/>
    <w:rsid w:val="00292F9B"/>
    <w:rsid w:val="00292FE2"/>
    <w:rsid w:val="00293754"/>
    <w:rsid w:val="00293CF5"/>
    <w:rsid w:val="002943A4"/>
    <w:rsid w:val="00294706"/>
    <w:rsid w:val="0029627C"/>
    <w:rsid w:val="00297E74"/>
    <w:rsid w:val="002A017A"/>
    <w:rsid w:val="002A0AB5"/>
    <w:rsid w:val="002A198F"/>
    <w:rsid w:val="002A248E"/>
    <w:rsid w:val="002A5236"/>
    <w:rsid w:val="002A5773"/>
    <w:rsid w:val="002A62C6"/>
    <w:rsid w:val="002A674F"/>
    <w:rsid w:val="002B11AF"/>
    <w:rsid w:val="002B25C5"/>
    <w:rsid w:val="002B28AA"/>
    <w:rsid w:val="002B300C"/>
    <w:rsid w:val="002B3144"/>
    <w:rsid w:val="002B4855"/>
    <w:rsid w:val="002B4A0C"/>
    <w:rsid w:val="002B4BA6"/>
    <w:rsid w:val="002B5633"/>
    <w:rsid w:val="002B6407"/>
    <w:rsid w:val="002B75B8"/>
    <w:rsid w:val="002B7605"/>
    <w:rsid w:val="002C0FA8"/>
    <w:rsid w:val="002C3B38"/>
    <w:rsid w:val="002C4D95"/>
    <w:rsid w:val="002C5390"/>
    <w:rsid w:val="002C59A1"/>
    <w:rsid w:val="002C6CFD"/>
    <w:rsid w:val="002C7041"/>
    <w:rsid w:val="002C762D"/>
    <w:rsid w:val="002C790D"/>
    <w:rsid w:val="002D0B63"/>
    <w:rsid w:val="002D1121"/>
    <w:rsid w:val="002D1526"/>
    <w:rsid w:val="002D17EA"/>
    <w:rsid w:val="002D269D"/>
    <w:rsid w:val="002D6485"/>
    <w:rsid w:val="002D72F5"/>
    <w:rsid w:val="002D7969"/>
    <w:rsid w:val="002E09A1"/>
    <w:rsid w:val="002E0B7C"/>
    <w:rsid w:val="002E1596"/>
    <w:rsid w:val="002E2D08"/>
    <w:rsid w:val="002E31DD"/>
    <w:rsid w:val="002E3520"/>
    <w:rsid w:val="002E47EF"/>
    <w:rsid w:val="002E49A6"/>
    <w:rsid w:val="002E4DD7"/>
    <w:rsid w:val="002E4F09"/>
    <w:rsid w:val="002E6B37"/>
    <w:rsid w:val="002F0D74"/>
    <w:rsid w:val="002F1A78"/>
    <w:rsid w:val="002F1D6C"/>
    <w:rsid w:val="002F2488"/>
    <w:rsid w:val="002F26DB"/>
    <w:rsid w:val="002F3829"/>
    <w:rsid w:val="002F4734"/>
    <w:rsid w:val="002F48AB"/>
    <w:rsid w:val="002F51AB"/>
    <w:rsid w:val="002F61E6"/>
    <w:rsid w:val="002F7553"/>
    <w:rsid w:val="00300039"/>
    <w:rsid w:val="003020C4"/>
    <w:rsid w:val="00304599"/>
    <w:rsid w:val="00304709"/>
    <w:rsid w:val="00305444"/>
    <w:rsid w:val="00305DB3"/>
    <w:rsid w:val="0030677B"/>
    <w:rsid w:val="00307012"/>
    <w:rsid w:val="003070A5"/>
    <w:rsid w:val="00307342"/>
    <w:rsid w:val="00310D2F"/>
    <w:rsid w:val="00311E6E"/>
    <w:rsid w:val="00312B5D"/>
    <w:rsid w:val="003144F1"/>
    <w:rsid w:val="00315FD7"/>
    <w:rsid w:val="0031691B"/>
    <w:rsid w:val="00316E6F"/>
    <w:rsid w:val="00317E68"/>
    <w:rsid w:val="00321AEB"/>
    <w:rsid w:val="00322A56"/>
    <w:rsid w:val="00322AD3"/>
    <w:rsid w:val="00322F86"/>
    <w:rsid w:val="00323A8B"/>
    <w:rsid w:val="00324DF9"/>
    <w:rsid w:val="0032513A"/>
    <w:rsid w:val="003252BB"/>
    <w:rsid w:val="00330220"/>
    <w:rsid w:val="00331563"/>
    <w:rsid w:val="00331B76"/>
    <w:rsid w:val="003329AB"/>
    <w:rsid w:val="00332F42"/>
    <w:rsid w:val="00333079"/>
    <w:rsid w:val="0033360E"/>
    <w:rsid w:val="00334189"/>
    <w:rsid w:val="003358B1"/>
    <w:rsid w:val="003365E9"/>
    <w:rsid w:val="0033680A"/>
    <w:rsid w:val="00337DBF"/>
    <w:rsid w:val="003410F2"/>
    <w:rsid w:val="00341552"/>
    <w:rsid w:val="00341862"/>
    <w:rsid w:val="00341ADE"/>
    <w:rsid w:val="00341C78"/>
    <w:rsid w:val="003431A1"/>
    <w:rsid w:val="003436A2"/>
    <w:rsid w:val="00344226"/>
    <w:rsid w:val="00344E94"/>
    <w:rsid w:val="00345252"/>
    <w:rsid w:val="0034682D"/>
    <w:rsid w:val="00347079"/>
    <w:rsid w:val="0034720E"/>
    <w:rsid w:val="00347317"/>
    <w:rsid w:val="00351835"/>
    <w:rsid w:val="0035197C"/>
    <w:rsid w:val="00351D41"/>
    <w:rsid w:val="00351FDD"/>
    <w:rsid w:val="00352A4F"/>
    <w:rsid w:val="00353C6F"/>
    <w:rsid w:val="0035494E"/>
    <w:rsid w:val="003571CF"/>
    <w:rsid w:val="0035769D"/>
    <w:rsid w:val="00357EB9"/>
    <w:rsid w:val="00360217"/>
    <w:rsid w:val="003616A6"/>
    <w:rsid w:val="0036190D"/>
    <w:rsid w:val="003629E5"/>
    <w:rsid w:val="00362F47"/>
    <w:rsid w:val="0036394E"/>
    <w:rsid w:val="003661A5"/>
    <w:rsid w:val="00366807"/>
    <w:rsid w:val="00366A6D"/>
    <w:rsid w:val="0036794A"/>
    <w:rsid w:val="00370A13"/>
    <w:rsid w:val="00371490"/>
    <w:rsid w:val="0037198F"/>
    <w:rsid w:val="00372AEC"/>
    <w:rsid w:val="00373246"/>
    <w:rsid w:val="0037397D"/>
    <w:rsid w:val="003740E0"/>
    <w:rsid w:val="003742F3"/>
    <w:rsid w:val="00374428"/>
    <w:rsid w:val="00375C31"/>
    <w:rsid w:val="00382520"/>
    <w:rsid w:val="00382AE3"/>
    <w:rsid w:val="00383AA8"/>
    <w:rsid w:val="00383F11"/>
    <w:rsid w:val="00384261"/>
    <w:rsid w:val="00385A08"/>
    <w:rsid w:val="003869AB"/>
    <w:rsid w:val="00386C35"/>
    <w:rsid w:val="0038785F"/>
    <w:rsid w:val="003918CA"/>
    <w:rsid w:val="00391A8F"/>
    <w:rsid w:val="00394E05"/>
    <w:rsid w:val="00395124"/>
    <w:rsid w:val="00395664"/>
    <w:rsid w:val="003956BD"/>
    <w:rsid w:val="00396A1E"/>
    <w:rsid w:val="00396B3D"/>
    <w:rsid w:val="003A06F1"/>
    <w:rsid w:val="003A15A6"/>
    <w:rsid w:val="003A174C"/>
    <w:rsid w:val="003A18FB"/>
    <w:rsid w:val="003A29FA"/>
    <w:rsid w:val="003A2C88"/>
    <w:rsid w:val="003A3CD1"/>
    <w:rsid w:val="003A5778"/>
    <w:rsid w:val="003A652E"/>
    <w:rsid w:val="003A6F58"/>
    <w:rsid w:val="003A74A6"/>
    <w:rsid w:val="003A7914"/>
    <w:rsid w:val="003B0608"/>
    <w:rsid w:val="003B155A"/>
    <w:rsid w:val="003B2ABA"/>
    <w:rsid w:val="003B342E"/>
    <w:rsid w:val="003B37B3"/>
    <w:rsid w:val="003B4935"/>
    <w:rsid w:val="003B5460"/>
    <w:rsid w:val="003B5FBC"/>
    <w:rsid w:val="003B7244"/>
    <w:rsid w:val="003B7356"/>
    <w:rsid w:val="003C0069"/>
    <w:rsid w:val="003C1156"/>
    <w:rsid w:val="003C1202"/>
    <w:rsid w:val="003C151C"/>
    <w:rsid w:val="003C1676"/>
    <w:rsid w:val="003C1AB8"/>
    <w:rsid w:val="003C2130"/>
    <w:rsid w:val="003C248E"/>
    <w:rsid w:val="003C2B21"/>
    <w:rsid w:val="003C322D"/>
    <w:rsid w:val="003C3431"/>
    <w:rsid w:val="003C3E1A"/>
    <w:rsid w:val="003C3E92"/>
    <w:rsid w:val="003C42C3"/>
    <w:rsid w:val="003C6E4E"/>
    <w:rsid w:val="003C72C3"/>
    <w:rsid w:val="003D0D44"/>
    <w:rsid w:val="003D1B29"/>
    <w:rsid w:val="003D3F68"/>
    <w:rsid w:val="003D5043"/>
    <w:rsid w:val="003D5A47"/>
    <w:rsid w:val="003D5C15"/>
    <w:rsid w:val="003D6855"/>
    <w:rsid w:val="003D6D3D"/>
    <w:rsid w:val="003D7568"/>
    <w:rsid w:val="003D7D1B"/>
    <w:rsid w:val="003E089F"/>
    <w:rsid w:val="003E0F18"/>
    <w:rsid w:val="003E1740"/>
    <w:rsid w:val="003E2222"/>
    <w:rsid w:val="003E2364"/>
    <w:rsid w:val="003E3A1B"/>
    <w:rsid w:val="003E3F76"/>
    <w:rsid w:val="003E411D"/>
    <w:rsid w:val="003E443F"/>
    <w:rsid w:val="003E5818"/>
    <w:rsid w:val="003E5C0D"/>
    <w:rsid w:val="003F18FF"/>
    <w:rsid w:val="003F1E61"/>
    <w:rsid w:val="003F2C9F"/>
    <w:rsid w:val="003F325B"/>
    <w:rsid w:val="003F353D"/>
    <w:rsid w:val="003F3E40"/>
    <w:rsid w:val="003F3F85"/>
    <w:rsid w:val="003F4458"/>
    <w:rsid w:val="003F6502"/>
    <w:rsid w:val="003F696C"/>
    <w:rsid w:val="00401164"/>
    <w:rsid w:val="00401C0C"/>
    <w:rsid w:val="00401D41"/>
    <w:rsid w:val="00402423"/>
    <w:rsid w:val="00402D30"/>
    <w:rsid w:val="00404503"/>
    <w:rsid w:val="00404D52"/>
    <w:rsid w:val="004055FE"/>
    <w:rsid w:val="00405F0B"/>
    <w:rsid w:val="004065C1"/>
    <w:rsid w:val="004076F6"/>
    <w:rsid w:val="00407A04"/>
    <w:rsid w:val="00413C50"/>
    <w:rsid w:val="004144A2"/>
    <w:rsid w:val="004147CC"/>
    <w:rsid w:val="00415FA6"/>
    <w:rsid w:val="00416561"/>
    <w:rsid w:val="00416B5E"/>
    <w:rsid w:val="0041740C"/>
    <w:rsid w:val="00417DA8"/>
    <w:rsid w:val="00420B9E"/>
    <w:rsid w:val="004239D0"/>
    <w:rsid w:val="00423E76"/>
    <w:rsid w:val="0042412E"/>
    <w:rsid w:val="00424F92"/>
    <w:rsid w:val="0042538A"/>
    <w:rsid w:val="00425633"/>
    <w:rsid w:val="004256F1"/>
    <w:rsid w:val="00425D2E"/>
    <w:rsid w:val="00426429"/>
    <w:rsid w:val="004271D4"/>
    <w:rsid w:val="00427F29"/>
    <w:rsid w:val="00430259"/>
    <w:rsid w:val="004308C0"/>
    <w:rsid w:val="00431163"/>
    <w:rsid w:val="004314C2"/>
    <w:rsid w:val="00431818"/>
    <w:rsid w:val="00431A64"/>
    <w:rsid w:val="004348E9"/>
    <w:rsid w:val="00436F46"/>
    <w:rsid w:val="00437916"/>
    <w:rsid w:val="00444823"/>
    <w:rsid w:val="00444B6C"/>
    <w:rsid w:val="00446AD3"/>
    <w:rsid w:val="00450701"/>
    <w:rsid w:val="00450E0F"/>
    <w:rsid w:val="00451759"/>
    <w:rsid w:val="00451965"/>
    <w:rsid w:val="00451D10"/>
    <w:rsid w:val="00452977"/>
    <w:rsid w:val="0045376D"/>
    <w:rsid w:val="00453B1F"/>
    <w:rsid w:val="00453FFE"/>
    <w:rsid w:val="0045475D"/>
    <w:rsid w:val="004558E4"/>
    <w:rsid w:val="004562C6"/>
    <w:rsid w:val="004577AE"/>
    <w:rsid w:val="004577CB"/>
    <w:rsid w:val="00461983"/>
    <w:rsid w:val="00461A15"/>
    <w:rsid w:val="00461FE0"/>
    <w:rsid w:val="004623A5"/>
    <w:rsid w:val="00462861"/>
    <w:rsid w:val="00464A9C"/>
    <w:rsid w:val="00464DDD"/>
    <w:rsid w:val="0046547A"/>
    <w:rsid w:val="00470A49"/>
    <w:rsid w:val="00470CCF"/>
    <w:rsid w:val="00470E33"/>
    <w:rsid w:val="004710F9"/>
    <w:rsid w:val="00472681"/>
    <w:rsid w:val="00474265"/>
    <w:rsid w:val="0047481E"/>
    <w:rsid w:val="00474BA5"/>
    <w:rsid w:val="0048025D"/>
    <w:rsid w:val="00483B57"/>
    <w:rsid w:val="00484576"/>
    <w:rsid w:val="00484DFC"/>
    <w:rsid w:val="00491BA0"/>
    <w:rsid w:val="00491FD2"/>
    <w:rsid w:val="00494208"/>
    <w:rsid w:val="00494CB3"/>
    <w:rsid w:val="0049590E"/>
    <w:rsid w:val="0049644E"/>
    <w:rsid w:val="004969C1"/>
    <w:rsid w:val="004976BD"/>
    <w:rsid w:val="00497C4A"/>
    <w:rsid w:val="004A0C56"/>
    <w:rsid w:val="004A1B0A"/>
    <w:rsid w:val="004A2199"/>
    <w:rsid w:val="004A361D"/>
    <w:rsid w:val="004A441D"/>
    <w:rsid w:val="004A44B9"/>
    <w:rsid w:val="004A50F5"/>
    <w:rsid w:val="004A54C2"/>
    <w:rsid w:val="004A5B77"/>
    <w:rsid w:val="004A5DD0"/>
    <w:rsid w:val="004A66A3"/>
    <w:rsid w:val="004B1428"/>
    <w:rsid w:val="004B1544"/>
    <w:rsid w:val="004B20BB"/>
    <w:rsid w:val="004B2B6A"/>
    <w:rsid w:val="004B2BF1"/>
    <w:rsid w:val="004B2DA5"/>
    <w:rsid w:val="004B3B20"/>
    <w:rsid w:val="004B40C5"/>
    <w:rsid w:val="004B4A12"/>
    <w:rsid w:val="004B4C90"/>
    <w:rsid w:val="004B5C67"/>
    <w:rsid w:val="004B62B9"/>
    <w:rsid w:val="004B65D7"/>
    <w:rsid w:val="004B7A74"/>
    <w:rsid w:val="004C17AF"/>
    <w:rsid w:val="004C1C67"/>
    <w:rsid w:val="004C243E"/>
    <w:rsid w:val="004C39EF"/>
    <w:rsid w:val="004C57A2"/>
    <w:rsid w:val="004D013F"/>
    <w:rsid w:val="004D0527"/>
    <w:rsid w:val="004D08A8"/>
    <w:rsid w:val="004D095A"/>
    <w:rsid w:val="004D3480"/>
    <w:rsid w:val="004D51B1"/>
    <w:rsid w:val="004E0E4F"/>
    <w:rsid w:val="004E12D2"/>
    <w:rsid w:val="004E23B5"/>
    <w:rsid w:val="004E3B16"/>
    <w:rsid w:val="004E4DAB"/>
    <w:rsid w:val="004F05B9"/>
    <w:rsid w:val="004F0F3C"/>
    <w:rsid w:val="004F2892"/>
    <w:rsid w:val="004F2EDD"/>
    <w:rsid w:val="004F35D3"/>
    <w:rsid w:val="004F4D14"/>
    <w:rsid w:val="004F58C6"/>
    <w:rsid w:val="004F5976"/>
    <w:rsid w:val="004F6942"/>
    <w:rsid w:val="004F69A2"/>
    <w:rsid w:val="004F7CA3"/>
    <w:rsid w:val="004F7CE4"/>
    <w:rsid w:val="00500283"/>
    <w:rsid w:val="00500BAB"/>
    <w:rsid w:val="00501C17"/>
    <w:rsid w:val="00503141"/>
    <w:rsid w:val="00504FCC"/>
    <w:rsid w:val="00505782"/>
    <w:rsid w:val="00505B62"/>
    <w:rsid w:val="00505BD2"/>
    <w:rsid w:val="00505CC0"/>
    <w:rsid w:val="00506847"/>
    <w:rsid w:val="005068BF"/>
    <w:rsid w:val="00507AFE"/>
    <w:rsid w:val="005101F1"/>
    <w:rsid w:val="00512782"/>
    <w:rsid w:val="005170AF"/>
    <w:rsid w:val="00517152"/>
    <w:rsid w:val="005202ED"/>
    <w:rsid w:val="00520B8E"/>
    <w:rsid w:val="00521640"/>
    <w:rsid w:val="00522092"/>
    <w:rsid w:val="00522179"/>
    <w:rsid w:val="005226B0"/>
    <w:rsid w:val="005234AE"/>
    <w:rsid w:val="00524847"/>
    <w:rsid w:val="00525E15"/>
    <w:rsid w:val="00525FE3"/>
    <w:rsid w:val="005318A4"/>
    <w:rsid w:val="00535B06"/>
    <w:rsid w:val="00535B57"/>
    <w:rsid w:val="00535EDE"/>
    <w:rsid w:val="005360CC"/>
    <w:rsid w:val="0054158A"/>
    <w:rsid w:val="0054162F"/>
    <w:rsid w:val="005417E8"/>
    <w:rsid w:val="005418E9"/>
    <w:rsid w:val="0054205D"/>
    <w:rsid w:val="005422B0"/>
    <w:rsid w:val="00542878"/>
    <w:rsid w:val="00542CA4"/>
    <w:rsid w:val="00542DDD"/>
    <w:rsid w:val="00542EB9"/>
    <w:rsid w:val="0054387D"/>
    <w:rsid w:val="00543E3B"/>
    <w:rsid w:val="00544DC0"/>
    <w:rsid w:val="00544DD0"/>
    <w:rsid w:val="00545783"/>
    <w:rsid w:val="00545865"/>
    <w:rsid w:val="00545F95"/>
    <w:rsid w:val="00546E1F"/>
    <w:rsid w:val="00547D97"/>
    <w:rsid w:val="00550C99"/>
    <w:rsid w:val="00551E16"/>
    <w:rsid w:val="00552AA4"/>
    <w:rsid w:val="00552E7E"/>
    <w:rsid w:val="00553DEE"/>
    <w:rsid w:val="00554AA8"/>
    <w:rsid w:val="005562F6"/>
    <w:rsid w:val="005571D6"/>
    <w:rsid w:val="00562414"/>
    <w:rsid w:val="0056278A"/>
    <w:rsid w:val="00563397"/>
    <w:rsid w:val="00564B29"/>
    <w:rsid w:val="00564CE1"/>
    <w:rsid w:val="00566928"/>
    <w:rsid w:val="00566E3C"/>
    <w:rsid w:val="00567779"/>
    <w:rsid w:val="0057082D"/>
    <w:rsid w:val="00570975"/>
    <w:rsid w:val="00571936"/>
    <w:rsid w:val="005735AA"/>
    <w:rsid w:val="005766EA"/>
    <w:rsid w:val="00576EE3"/>
    <w:rsid w:val="00580763"/>
    <w:rsid w:val="005810E4"/>
    <w:rsid w:val="00581125"/>
    <w:rsid w:val="0058260F"/>
    <w:rsid w:val="00582BBC"/>
    <w:rsid w:val="005842DB"/>
    <w:rsid w:val="005843F1"/>
    <w:rsid w:val="00584642"/>
    <w:rsid w:val="00585B15"/>
    <w:rsid w:val="00585CDA"/>
    <w:rsid w:val="00586E5C"/>
    <w:rsid w:val="00587740"/>
    <w:rsid w:val="00587CBD"/>
    <w:rsid w:val="00591556"/>
    <w:rsid w:val="00591FAB"/>
    <w:rsid w:val="0059310A"/>
    <w:rsid w:val="005933B6"/>
    <w:rsid w:val="005945DC"/>
    <w:rsid w:val="00595291"/>
    <w:rsid w:val="00596DF6"/>
    <w:rsid w:val="00597164"/>
    <w:rsid w:val="005A2114"/>
    <w:rsid w:val="005A3E17"/>
    <w:rsid w:val="005A4446"/>
    <w:rsid w:val="005A5296"/>
    <w:rsid w:val="005A6AAD"/>
    <w:rsid w:val="005A74B1"/>
    <w:rsid w:val="005B02B3"/>
    <w:rsid w:val="005B059D"/>
    <w:rsid w:val="005B0894"/>
    <w:rsid w:val="005B0A69"/>
    <w:rsid w:val="005B1B80"/>
    <w:rsid w:val="005B3863"/>
    <w:rsid w:val="005B39D3"/>
    <w:rsid w:val="005B4095"/>
    <w:rsid w:val="005B4CF5"/>
    <w:rsid w:val="005B4EDD"/>
    <w:rsid w:val="005B776C"/>
    <w:rsid w:val="005C0730"/>
    <w:rsid w:val="005C0787"/>
    <w:rsid w:val="005C0A94"/>
    <w:rsid w:val="005C1423"/>
    <w:rsid w:val="005C15B0"/>
    <w:rsid w:val="005C1EAA"/>
    <w:rsid w:val="005C262B"/>
    <w:rsid w:val="005C2C3B"/>
    <w:rsid w:val="005C2CF7"/>
    <w:rsid w:val="005C4B45"/>
    <w:rsid w:val="005C5950"/>
    <w:rsid w:val="005C698F"/>
    <w:rsid w:val="005C6991"/>
    <w:rsid w:val="005D0413"/>
    <w:rsid w:val="005D10DB"/>
    <w:rsid w:val="005D2327"/>
    <w:rsid w:val="005D27FF"/>
    <w:rsid w:val="005D2AF3"/>
    <w:rsid w:val="005D337E"/>
    <w:rsid w:val="005D3929"/>
    <w:rsid w:val="005D3E06"/>
    <w:rsid w:val="005D4182"/>
    <w:rsid w:val="005D4F14"/>
    <w:rsid w:val="005D7062"/>
    <w:rsid w:val="005D7C17"/>
    <w:rsid w:val="005D7D78"/>
    <w:rsid w:val="005E05E9"/>
    <w:rsid w:val="005E0B90"/>
    <w:rsid w:val="005E102A"/>
    <w:rsid w:val="005E13A2"/>
    <w:rsid w:val="005E27A6"/>
    <w:rsid w:val="005E2A3B"/>
    <w:rsid w:val="005E31F1"/>
    <w:rsid w:val="005E36A2"/>
    <w:rsid w:val="005E4F66"/>
    <w:rsid w:val="005E51FB"/>
    <w:rsid w:val="005E54BF"/>
    <w:rsid w:val="005E57EF"/>
    <w:rsid w:val="005E6BEE"/>
    <w:rsid w:val="005E7907"/>
    <w:rsid w:val="005E7D04"/>
    <w:rsid w:val="005F060C"/>
    <w:rsid w:val="005F1451"/>
    <w:rsid w:val="005F266F"/>
    <w:rsid w:val="005F34BD"/>
    <w:rsid w:val="005F535A"/>
    <w:rsid w:val="005F578C"/>
    <w:rsid w:val="005F5D0F"/>
    <w:rsid w:val="005F6526"/>
    <w:rsid w:val="005F70FC"/>
    <w:rsid w:val="0060147A"/>
    <w:rsid w:val="00601709"/>
    <w:rsid w:val="0060317B"/>
    <w:rsid w:val="00603312"/>
    <w:rsid w:val="006039E8"/>
    <w:rsid w:val="0060404E"/>
    <w:rsid w:val="00605645"/>
    <w:rsid w:val="00610054"/>
    <w:rsid w:val="006103DF"/>
    <w:rsid w:val="006111BB"/>
    <w:rsid w:val="00611F05"/>
    <w:rsid w:val="0061298A"/>
    <w:rsid w:val="00613391"/>
    <w:rsid w:val="006145F4"/>
    <w:rsid w:val="0061486C"/>
    <w:rsid w:val="00617196"/>
    <w:rsid w:val="00617D55"/>
    <w:rsid w:val="00617F6C"/>
    <w:rsid w:val="00617FAE"/>
    <w:rsid w:val="00620421"/>
    <w:rsid w:val="00620B4A"/>
    <w:rsid w:val="00621DAB"/>
    <w:rsid w:val="00622188"/>
    <w:rsid w:val="00622943"/>
    <w:rsid w:val="00624485"/>
    <w:rsid w:val="0062564E"/>
    <w:rsid w:val="00625D8F"/>
    <w:rsid w:val="0062610A"/>
    <w:rsid w:val="0062636D"/>
    <w:rsid w:val="006265C1"/>
    <w:rsid w:val="0062678F"/>
    <w:rsid w:val="00626A12"/>
    <w:rsid w:val="00626C50"/>
    <w:rsid w:val="00627D6D"/>
    <w:rsid w:val="00630435"/>
    <w:rsid w:val="00631327"/>
    <w:rsid w:val="00633511"/>
    <w:rsid w:val="00635A56"/>
    <w:rsid w:val="00635B85"/>
    <w:rsid w:val="00636B3B"/>
    <w:rsid w:val="00636E70"/>
    <w:rsid w:val="00637C5B"/>
    <w:rsid w:val="00640188"/>
    <w:rsid w:val="006412BA"/>
    <w:rsid w:val="00642903"/>
    <w:rsid w:val="00642D37"/>
    <w:rsid w:val="006430A5"/>
    <w:rsid w:val="006468A9"/>
    <w:rsid w:val="00646F2F"/>
    <w:rsid w:val="00647306"/>
    <w:rsid w:val="006475C2"/>
    <w:rsid w:val="00650099"/>
    <w:rsid w:val="00650496"/>
    <w:rsid w:val="00650666"/>
    <w:rsid w:val="00650B57"/>
    <w:rsid w:val="0065195E"/>
    <w:rsid w:val="00651EE4"/>
    <w:rsid w:val="00653268"/>
    <w:rsid w:val="00656161"/>
    <w:rsid w:val="00657281"/>
    <w:rsid w:val="0066155B"/>
    <w:rsid w:val="00663A25"/>
    <w:rsid w:val="00663D24"/>
    <w:rsid w:val="00670A85"/>
    <w:rsid w:val="00670B55"/>
    <w:rsid w:val="00672250"/>
    <w:rsid w:val="00672BCF"/>
    <w:rsid w:val="006730F2"/>
    <w:rsid w:val="00673429"/>
    <w:rsid w:val="0067359A"/>
    <w:rsid w:val="00674B27"/>
    <w:rsid w:val="00674DE9"/>
    <w:rsid w:val="00675ED5"/>
    <w:rsid w:val="006824BC"/>
    <w:rsid w:val="006825F3"/>
    <w:rsid w:val="006834A1"/>
    <w:rsid w:val="00684102"/>
    <w:rsid w:val="0068470E"/>
    <w:rsid w:val="00684FDF"/>
    <w:rsid w:val="006854F4"/>
    <w:rsid w:val="0068709C"/>
    <w:rsid w:val="006872B3"/>
    <w:rsid w:val="006900B6"/>
    <w:rsid w:val="006903D3"/>
    <w:rsid w:val="00691F0A"/>
    <w:rsid w:val="00692927"/>
    <w:rsid w:val="0069478D"/>
    <w:rsid w:val="00695717"/>
    <w:rsid w:val="00696760"/>
    <w:rsid w:val="00697300"/>
    <w:rsid w:val="006A013C"/>
    <w:rsid w:val="006A0B4A"/>
    <w:rsid w:val="006A2FA5"/>
    <w:rsid w:val="006A323A"/>
    <w:rsid w:val="006A4715"/>
    <w:rsid w:val="006A4909"/>
    <w:rsid w:val="006A5A4C"/>
    <w:rsid w:val="006A6036"/>
    <w:rsid w:val="006A6682"/>
    <w:rsid w:val="006A693C"/>
    <w:rsid w:val="006A7D5B"/>
    <w:rsid w:val="006B002B"/>
    <w:rsid w:val="006B01CB"/>
    <w:rsid w:val="006B20CA"/>
    <w:rsid w:val="006B3083"/>
    <w:rsid w:val="006B3EF0"/>
    <w:rsid w:val="006B3F88"/>
    <w:rsid w:val="006B47D7"/>
    <w:rsid w:val="006B4BE7"/>
    <w:rsid w:val="006B4C1E"/>
    <w:rsid w:val="006B4D2D"/>
    <w:rsid w:val="006B4F46"/>
    <w:rsid w:val="006B567B"/>
    <w:rsid w:val="006B5AF2"/>
    <w:rsid w:val="006B5EA6"/>
    <w:rsid w:val="006B69C5"/>
    <w:rsid w:val="006C165C"/>
    <w:rsid w:val="006C21DB"/>
    <w:rsid w:val="006C24A7"/>
    <w:rsid w:val="006C32B9"/>
    <w:rsid w:val="006C4FA8"/>
    <w:rsid w:val="006C50E5"/>
    <w:rsid w:val="006C5162"/>
    <w:rsid w:val="006C54FA"/>
    <w:rsid w:val="006C5AF4"/>
    <w:rsid w:val="006C7054"/>
    <w:rsid w:val="006C7C45"/>
    <w:rsid w:val="006C7E6C"/>
    <w:rsid w:val="006D087F"/>
    <w:rsid w:val="006D0FFF"/>
    <w:rsid w:val="006D147A"/>
    <w:rsid w:val="006D2295"/>
    <w:rsid w:val="006D2E7B"/>
    <w:rsid w:val="006D2F03"/>
    <w:rsid w:val="006D37FA"/>
    <w:rsid w:val="006D4501"/>
    <w:rsid w:val="006D488C"/>
    <w:rsid w:val="006D4A0B"/>
    <w:rsid w:val="006D4DBA"/>
    <w:rsid w:val="006D545D"/>
    <w:rsid w:val="006D6C07"/>
    <w:rsid w:val="006E2865"/>
    <w:rsid w:val="006E312A"/>
    <w:rsid w:val="006E3781"/>
    <w:rsid w:val="006E39A0"/>
    <w:rsid w:val="006E4D81"/>
    <w:rsid w:val="006E7E60"/>
    <w:rsid w:val="006F003F"/>
    <w:rsid w:val="006F0599"/>
    <w:rsid w:val="006F1592"/>
    <w:rsid w:val="006F23F3"/>
    <w:rsid w:val="006F40D1"/>
    <w:rsid w:val="006F4125"/>
    <w:rsid w:val="006F5B97"/>
    <w:rsid w:val="006F61DD"/>
    <w:rsid w:val="006F6A69"/>
    <w:rsid w:val="006F76EA"/>
    <w:rsid w:val="00700E3F"/>
    <w:rsid w:val="007019C7"/>
    <w:rsid w:val="007021F8"/>
    <w:rsid w:val="007028A0"/>
    <w:rsid w:val="00703A64"/>
    <w:rsid w:val="00705885"/>
    <w:rsid w:val="0070627B"/>
    <w:rsid w:val="00706403"/>
    <w:rsid w:val="007069B5"/>
    <w:rsid w:val="00710457"/>
    <w:rsid w:val="00710C8B"/>
    <w:rsid w:val="0071156E"/>
    <w:rsid w:val="007127FF"/>
    <w:rsid w:val="00712E2F"/>
    <w:rsid w:val="00713074"/>
    <w:rsid w:val="00713919"/>
    <w:rsid w:val="00713B82"/>
    <w:rsid w:val="0071475D"/>
    <w:rsid w:val="00714F7A"/>
    <w:rsid w:val="00715114"/>
    <w:rsid w:val="007159EA"/>
    <w:rsid w:val="00715E02"/>
    <w:rsid w:val="00715E86"/>
    <w:rsid w:val="00716727"/>
    <w:rsid w:val="007174DA"/>
    <w:rsid w:val="007175AD"/>
    <w:rsid w:val="00721D5F"/>
    <w:rsid w:val="00722FF9"/>
    <w:rsid w:val="00723976"/>
    <w:rsid w:val="00723E92"/>
    <w:rsid w:val="007246C7"/>
    <w:rsid w:val="00724C28"/>
    <w:rsid w:val="00724E8D"/>
    <w:rsid w:val="00725070"/>
    <w:rsid w:val="00725824"/>
    <w:rsid w:val="00725D90"/>
    <w:rsid w:val="0072679B"/>
    <w:rsid w:val="00726919"/>
    <w:rsid w:val="00730E48"/>
    <w:rsid w:val="00730F93"/>
    <w:rsid w:val="0073220A"/>
    <w:rsid w:val="00732287"/>
    <w:rsid w:val="0073250B"/>
    <w:rsid w:val="0073418C"/>
    <w:rsid w:val="00734230"/>
    <w:rsid w:val="007351F9"/>
    <w:rsid w:val="00736CD8"/>
    <w:rsid w:val="00736FBE"/>
    <w:rsid w:val="0074140E"/>
    <w:rsid w:val="007431E1"/>
    <w:rsid w:val="0074432B"/>
    <w:rsid w:val="007444D1"/>
    <w:rsid w:val="00744781"/>
    <w:rsid w:val="00746536"/>
    <w:rsid w:val="00747134"/>
    <w:rsid w:val="007474E2"/>
    <w:rsid w:val="00750252"/>
    <w:rsid w:val="007503FF"/>
    <w:rsid w:val="00751B42"/>
    <w:rsid w:val="00752429"/>
    <w:rsid w:val="00752AC4"/>
    <w:rsid w:val="0075389A"/>
    <w:rsid w:val="00754B00"/>
    <w:rsid w:val="0075569A"/>
    <w:rsid w:val="00756130"/>
    <w:rsid w:val="007563E9"/>
    <w:rsid w:val="00756F84"/>
    <w:rsid w:val="00756FFE"/>
    <w:rsid w:val="007572A9"/>
    <w:rsid w:val="00760526"/>
    <w:rsid w:val="00760A36"/>
    <w:rsid w:val="007616F8"/>
    <w:rsid w:val="007617C9"/>
    <w:rsid w:val="00761CC4"/>
    <w:rsid w:val="00761F4C"/>
    <w:rsid w:val="00764FC2"/>
    <w:rsid w:val="00765EDF"/>
    <w:rsid w:val="00765F56"/>
    <w:rsid w:val="0076654E"/>
    <w:rsid w:val="0076776C"/>
    <w:rsid w:val="00770AE8"/>
    <w:rsid w:val="00771137"/>
    <w:rsid w:val="007711F7"/>
    <w:rsid w:val="00772060"/>
    <w:rsid w:val="007722CC"/>
    <w:rsid w:val="00773564"/>
    <w:rsid w:val="00775484"/>
    <w:rsid w:val="007755ED"/>
    <w:rsid w:val="00776DC9"/>
    <w:rsid w:val="0077725C"/>
    <w:rsid w:val="00777ED8"/>
    <w:rsid w:val="00780032"/>
    <w:rsid w:val="0078039E"/>
    <w:rsid w:val="00780402"/>
    <w:rsid w:val="00780404"/>
    <w:rsid w:val="0078049E"/>
    <w:rsid w:val="00780A34"/>
    <w:rsid w:val="00780C62"/>
    <w:rsid w:val="00780DD8"/>
    <w:rsid w:val="007817E7"/>
    <w:rsid w:val="0078396F"/>
    <w:rsid w:val="00783DBE"/>
    <w:rsid w:val="00783FFB"/>
    <w:rsid w:val="0078417D"/>
    <w:rsid w:val="00784DE9"/>
    <w:rsid w:val="00785AFC"/>
    <w:rsid w:val="0078697F"/>
    <w:rsid w:val="00787D78"/>
    <w:rsid w:val="007900C0"/>
    <w:rsid w:val="007906B9"/>
    <w:rsid w:val="00790BA8"/>
    <w:rsid w:val="00790C67"/>
    <w:rsid w:val="007947C3"/>
    <w:rsid w:val="00795004"/>
    <w:rsid w:val="00795425"/>
    <w:rsid w:val="00797F14"/>
    <w:rsid w:val="007A11C8"/>
    <w:rsid w:val="007A14C5"/>
    <w:rsid w:val="007A1698"/>
    <w:rsid w:val="007A1E1B"/>
    <w:rsid w:val="007A2044"/>
    <w:rsid w:val="007A20B4"/>
    <w:rsid w:val="007A31C3"/>
    <w:rsid w:val="007A423E"/>
    <w:rsid w:val="007A43C0"/>
    <w:rsid w:val="007A607B"/>
    <w:rsid w:val="007A64B1"/>
    <w:rsid w:val="007A758E"/>
    <w:rsid w:val="007A7A4C"/>
    <w:rsid w:val="007A7C11"/>
    <w:rsid w:val="007B094A"/>
    <w:rsid w:val="007B33A1"/>
    <w:rsid w:val="007B3D17"/>
    <w:rsid w:val="007B3D2F"/>
    <w:rsid w:val="007B4520"/>
    <w:rsid w:val="007B453E"/>
    <w:rsid w:val="007B594B"/>
    <w:rsid w:val="007B6518"/>
    <w:rsid w:val="007B6F5E"/>
    <w:rsid w:val="007B7F7B"/>
    <w:rsid w:val="007C233F"/>
    <w:rsid w:val="007C367F"/>
    <w:rsid w:val="007C43CD"/>
    <w:rsid w:val="007C47CF"/>
    <w:rsid w:val="007C493C"/>
    <w:rsid w:val="007C4CB2"/>
    <w:rsid w:val="007C5CB6"/>
    <w:rsid w:val="007C68FC"/>
    <w:rsid w:val="007C6B42"/>
    <w:rsid w:val="007C7B5A"/>
    <w:rsid w:val="007D0739"/>
    <w:rsid w:val="007D1D13"/>
    <w:rsid w:val="007D1DF9"/>
    <w:rsid w:val="007D2CAA"/>
    <w:rsid w:val="007D3215"/>
    <w:rsid w:val="007D3B06"/>
    <w:rsid w:val="007D487F"/>
    <w:rsid w:val="007D4D2F"/>
    <w:rsid w:val="007D4F10"/>
    <w:rsid w:val="007D6F77"/>
    <w:rsid w:val="007D7199"/>
    <w:rsid w:val="007D7E8C"/>
    <w:rsid w:val="007E194C"/>
    <w:rsid w:val="007E1AA3"/>
    <w:rsid w:val="007E1CD6"/>
    <w:rsid w:val="007E24E4"/>
    <w:rsid w:val="007E45AE"/>
    <w:rsid w:val="007E496D"/>
    <w:rsid w:val="007E49FE"/>
    <w:rsid w:val="007E4D46"/>
    <w:rsid w:val="007E5368"/>
    <w:rsid w:val="007E5A10"/>
    <w:rsid w:val="007E65BA"/>
    <w:rsid w:val="007E6BCA"/>
    <w:rsid w:val="007F032B"/>
    <w:rsid w:val="007F1FFE"/>
    <w:rsid w:val="007F27EA"/>
    <w:rsid w:val="007F490F"/>
    <w:rsid w:val="007F53C9"/>
    <w:rsid w:val="007F5E66"/>
    <w:rsid w:val="007F6789"/>
    <w:rsid w:val="007F6CE5"/>
    <w:rsid w:val="007F6F63"/>
    <w:rsid w:val="007F7744"/>
    <w:rsid w:val="00802648"/>
    <w:rsid w:val="0080433F"/>
    <w:rsid w:val="00804A93"/>
    <w:rsid w:val="00806130"/>
    <w:rsid w:val="008067FE"/>
    <w:rsid w:val="00807D27"/>
    <w:rsid w:val="00810971"/>
    <w:rsid w:val="00810FAC"/>
    <w:rsid w:val="008121C9"/>
    <w:rsid w:val="00812273"/>
    <w:rsid w:val="00813476"/>
    <w:rsid w:val="008135A0"/>
    <w:rsid w:val="00814609"/>
    <w:rsid w:val="0081472B"/>
    <w:rsid w:val="0081500B"/>
    <w:rsid w:val="008159DE"/>
    <w:rsid w:val="00816147"/>
    <w:rsid w:val="00816ED6"/>
    <w:rsid w:val="0081719E"/>
    <w:rsid w:val="00820961"/>
    <w:rsid w:val="00820B12"/>
    <w:rsid w:val="0082140A"/>
    <w:rsid w:val="00822247"/>
    <w:rsid w:val="0082491E"/>
    <w:rsid w:val="008254B8"/>
    <w:rsid w:val="00825A93"/>
    <w:rsid w:val="00826CB5"/>
    <w:rsid w:val="00827ED4"/>
    <w:rsid w:val="00830282"/>
    <w:rsid w:val="00831178"/>
    <w:rsid w:val="00831F8D"/>
    <w:rsid w:val="008338BB"/>
    <w:rsid w:val="00834787"/>
    <w:rsid w:val="00835CC6"/>
    <w:rsid w:val="00835F08"/>
    <w:rsid w:val="0083730F"/>
    <w:rsid w:val="0084009A"/>
    <w:rsid w:val="00840CDE"/>
    <w:rsid w:val="0084138D"/>
    <w:rsid w:val="008421ED"/>
    <w:rsid w:val="0084250D"/>
    <w:rsid w:val="0084282F"/>
    <w:rsid w:val="00842B55"/>
    <w:rsid w:val="008445AD"/>
    <w:rsid w:val="0084492A"/>
    <w:rsid w:val="00844D4C"/>
    <w:rsid w:val="00845C68"/>
    <w:rsid w:val="00845D5C"/>
    <w:rsid w:val="0084666A"/>
    <w:rsid w:val="0085020F"/>
    <w:rsid w:val="008508D7"/>
    <w:rsid w:val="00850918"/>
    <w:rsid w:val="008520ED"/>
    <w:rsid w:val="008529AA"/>
    <w:rsid w:val="008531D8"/>
    <w:rsid w:val="00853C03"/>
    <w:rsid w:val="00854AFE"/>
    <w:rsid w:val="00855BD5"/>
    <w:rsid w:val="00856D34"/>
    <w:rsid w:val="008574B3"/>
    <w:rsid w:val="008617D3"/>
    <w:rsid w:val="00862084"/>
    <w:rsid w:val="00863E57"/>
    <w:rsid w:val="00865A02"/>
    <w:rsid w:val="00865D4F"/>
    <w:rsid w:val="0086695A"/>
    <w:rsid w:val="00866BD9"/>
    <w:rsid w:val="00867A0B"/>
    <w:rsid w:val="00870946"/>
    <w:rsid w:val="00871BAA"/>
    <w:rsid w:val="00872787"/>
    <w:rsid w:val="008733AF"/>
    <w:rsid w:val="00873C90"/>
    <w:rsid w:val="00874547"/>
    <w:rsid w:val="008749BD"/>
    <w:rsid w:val="0087545E"/>
    <w:rsid w:val="008756A9"/>
    <w:rsid w:val="00876C50"/>
    <w:rsid w:val="00876D25"/>
    <w:rsid w:val="008773FC"/>
    <w:rsid w:val="00877942"/>
    <w:rsid w:val="0088065B"/>
    <w:rsid w:val="008806D5"/>
    <w:rsid w:val="008818D8"/>
    <w:rsid w:val="00883285"/>
    <w:rsid w:val="008838D5"/>
    <w:rsid w:val="00884249"/>
    <w:rsid w:val="00884F6C"/>
    <w:rsid w:val="0088570C"/>
    <w:rsid w:val="00885877"/>
    <w:rsid w:val="00886708"/>
    <w:rsid w:val="00886C4C"/>
    <w:rsid w:val="008905B8"/>
    <w:rsid w:val="00890AE0"/>
    <w:rsid w:val="00891471"/>
    <w:rsid w:val="008926A0"/>
    <w:rsid w:val="00892E43"/>
    <w:rsid w:val="008935C8"/>
    <w:rsid w:val="00893760"/>
    <w:rsid w:val="00894E6E"/>
    <w:rsid w:val="00895C50"/>
    <w:rsid w:val="008A1355"/>
    <w:rsid w:val="008A14D0"/>
    <w:rsid w:val="008A1D69"/>
    <w:rsid w:val="008A2170"/>
    <w:rsid w:val="008A21B0"/>
    <w:rsid w:val="008A309D"/>
    <w:rsid w:val="008A4AC0"/>
    <w:rsid w:val="008A57CE"/>
    <w:rsid w:val="008A5AC7"/>
    <w:rsid w:val="008A675B"/>
    <w:rsid w:val="008A7123"/>
    <w:rsid w:val="008A7308"/>
    <w:rsid w:val="008A74E6"/>
    <w:rsid w:val="008B0495"/>
    <w:rsid w:val="008B3B28"/>
    <w:rsid w:val="008B60CA"/>
    <w:rsid w:val="008B6944"/>
    <w:rsid w:val="008B6C02"/>
    <w:rsid w:val="008B7847"/>
    <w:rsid w:val="008C0C86"/>
    <w:rsid w:val="008C2F95"/>
    <w:rsid w:val="008C4B4D"/>
    <w:rsid w:val="008C6B14"/>
    <w:rsid w:val="008C7483"/>
    <w:rsid w:val="008D03A9"/>
    <w:rsid w:val="008D05C9"/>
    <w:rsid w:val="008D2E50"/>
    <w:rsid w:val="008D3A75"/>
    <w:rsid w:val="008D40C9"/>
    <w:rsid w:val="008D49EB"/>
    <w:rsid w:val="008D4F73"/>
    <w:rsid w:val="008D6EBC"/>
    <w:rsid w:val="008D7FF3"/>
    <w:rsid w:val="008E0296"/>
    <w:rsid w:val="008E12F9"/>
    <w:rsid w:val="008E1C1E"/>
    <w:rsid w:val="008E2FA1"/>
    <w:rsid w:val="008F06BE"/>
    <w:rsid w:val="008F08D5"/>
    <w:rsid w:val="008F1265"/>
    <w:rsid w:val="008F13EA"/>
    <w:rsid w:val="008F1677"/>
    <w:rsid w:val="008F1BCE"/>
    <w:rsid w:val="008F2058"/>
    <w:rsid w:val="008F26D2"/>
    <w:rsid w:val="008F3528"/>
    <w:rsid w:val="008F54EB"/>
    <w:rsid w:val="008F5CD5"/>
    <w:rsid w:val="008F6D33"/>
    <w:rsid w:val="008F7EDA"/>
    <w:rsid w:val="008F7EDE"/>
    <w:rsid w:val="009001D1"/>
    <w:rsid w:val="00900200"/>
    <w:rsid w:val="00900443"/>
    <w:rsid w:val="00900583"/>
    <w:rsid w:val="0090147F"/>
    <w:rsid w:val="00902F06"/>
    <w:rsid w:val="00903F61"/>
    <w:rsid w:val="00904B98"/>
    <w:rsid w:val="00906172"/>
    <w:rsid w:val="00907D3D"/>
    <w:rsid w:val="00907DB6"/>
    <w:rsid w:val="009103E1"/>
    <w:rsid w:val="009107D9"/>
    <w:rsid w:val="00912998"/>
    <w:rsid w:val="00912F2D"/>
    <w:rsid w:val="00913683"/>
    <w:rsid w:val="009140F4"/>
    <w:rsid w:val="0091416E"/>
    <w:rsid w:val="00914841"/>
    <w:rsid w:val="009148EA"/>
    <w:rsid w:val="0091542E"/>
    <w:rsid w:val="0091545F"/>
    <w:rsid w:val="009160AD"/>
    <w:rsid w:val="00916F31"/>
    <w:rsid w:val="00917440"/>
    <w:rsid w:val="009201E0"/>
    <w:rsid w:val="0092049E"/>
    <w:rsid w:val="00920515"/>
    <w:rsid w:val="00921DBB"/>
    <w:rsid w:val="0092282E"/>
    <w:rsid w:val="009231F7"/>
    <w:rsid w:val="00924C92"/>
    <w:rsid w:val="0092798E"/>
    <w:rsid w:val="00930B9B"/>
    <w:rsid w:val="00931C3E"/>
    <w:rsid w:val="00932CC7"/>
    <w:rsid w:val="00933457"/>
    <w:rsid w:val="00934810"/>
    <w:rsid w:val="00935385"/>
    <w:rsid w:val="009363EC"/>
    <w:rsid w:val="00937396"/>
    <w:rsid w:val="00941652"/>
    <w:rsid w:val="00942BBB"/>
    <w:rsid w:val="00943225"/>
    <w:rsid w:val="00943732"/>
    <w:rsid w:val="00943EB6"/>
    <w:rsid w:val="00945406"/>
    <w:rsid w:val="00946541"/>
    <w:rsid w:val="00947522"/>
    <w:rsid w:val="0095095A"/>
    <w:rsid w:val="00952263"/>
    <w:rsid w:val="00952D5F"/>
    <w:rsid w:val="0095447F"/>
    <w:rsid w:val="00955542"/>
    <w:rsid w:val="009556A2"/>
    <w:rsid w:val="00955D48"/>
    <w:rsid w:val="00956A08"/>
    <w:rsid w:val="00957451"/>
    <w:rsid w:val="009574CD"/>
    <w:rsid w:val="00961068"/>
    <w:rsid w:val="00962A1D"/>
    <w:rsid w:val="009630C0"/>
    <w:rsid w:val="009648F1"/>
    <w:rsid w:val="00966808"/>
    <w:rsid w:val="00967145"/>
    <w:rsid w:val="0096785B"/>
    <w:rsid w:val="009679B3"/>
    <w:rsid w:val="009705B6"/>
    <w:rsid w:val="009712B5"/>
    <w:rsid w:val="00971873"/>
    <w:rsid w:val="009719D8"/>
    <w:rsid w:val="00971D40"/>
    <w:rsid w:val="009738EA"/>
    <w:rsid w:val="00973DC1"/>
    <w:rsid w:val="00975615"/>
    <w:rsid w:val="00975E46"/>
    <w:rsid w:val="009771FC"/>
    <w:rsid w:val="00977905"/>
    <w:rsid w:val="00980CFA"/>
    <w:rsid w:val="00980FD1"/>
    <w:rsid w:val="009826F9"/>
    <w:rsid w:val="00982AF7"/>
    <w:rsid w:val="00983AE9"/>
    <w:rsid w:val="0098463C"/>
    <w:rsid w:val="00986086"/>
    <w:rsid w:val="009872C3"/>
    <w:rsid w:val="00987CCB"/>
    <w:rsid w:val="00990426"/>
    <w:rsid w:val="00991407"/>
    <w:rsid w:val="009937D0"/>
    <w:rsid w:val="00993917"/>
    <w:rsid w:val="00995E13"/>
    <w:rsid w:val="009962C2"/>
    <w:rsid w:val="009977DE"/>
    <w:rsid w:val="009A1741"/>
    <w:rsid w:val="009A33B6"/>
    <w:rsid w:val="009A5164"/>
    <w:rsid w:val="009A56D3"/>
    <w:rsid w:val="009A5A25"/>
    <w:rsid w:val="009A6355"/>
    <w:rsid w:val="009A69F5"/>
    <w:rsid w:val="009B0E21"/>
    <w:rsid w:val="009B1112"/>
    <w:rsid w:val="009B12B4"/>
    <w:rsid w:val="009B203A"/>
    <w:rsid w:val="009B30F1"/>
    <w:rsid w:val="009B32FF"/>
    <w:rsid w:val="009B38DF"/>
    <w:rsid w:val="009B3FC5"/>
    <w:rsid w:val="009B48CE"/>
    <w:rsid w:val="009B4C15"/>
    <w:rsid w:val="009B551B"/>
    <w:rsid w:val="009B5D89"/>
    <w:rsid w:val="009C0FAA"/>
    <w:rsid w:val="009C2726"/>
    <w:rsid w:val="009C28A8"/>
    <w:rsid w:val="009C3B63"/>
    <w:rsid w:val="009C6146"/>
    <w:rsid w:val="009C6588"/>
    <w:rsid w:val="009C65EE"/>
    <w:rsid w:val="009C6E61"/>
    <w:rsid w:val="009C7594"/>
    <w:rsid w:val="009C765E"/>
    <w:rsid w:val="009D30E1"/>
    <w:rsid w:val="009D4396"/>
    <w:rsid w:val="009D4879"/>
    <w:rsid w:val="009D6604"/>
    <w:rsid w:val="009E002B"/>
    <w:rsid w:val="009E0271"/>
    <w:rsid w:val="009E0A6F"/>
    <w:rsid w:val="009E0FD2"/>
    <w:rsid w:val="009E13C5"/>
    <w:rsid w:val="009E22FF"/>
    <w:rsid w:val="009E2427"/>
    <w:rsid w:val="009E2954"/>
    <w:rsid w:val="009E32D6"/>
    <w:rsid w:val="009E3FBA"/>
    <w:rsid w:val="009E4C3F"/>
    <w:rsid w:val="009E4F80"/>
    <w:rsid w:val="009E5EF7"/>
    <w:rsid w:val="009E6096"/>
    <w:rsid w:val="009E638F"/>
    <w:rsid w:val="009E6764"/>
    <w:rsid w:val="009E7547"/>
    <w:rsid w:val="009E78FE"/>
    <w:rsid w:val="009E7CC4"/>
    <w:rsid w:val="009F1767"/>
    <w:rsid w:val="009F26E2"/>
    <w:rsid w:val="009F2748"/>
    <w:rsid w:val="009F41BA"/>
    <w:rsid w:val="009F6764"/>
    <w:rsid w:val="009F6E4E"/>
    <w:rsid w:val="00A010E6"/>
    <w:rsid w:val="00A01DA4"/>
    <w:rsid w:val="00A0382D"/>
    <w:rsid w:val="00A03C4E"/>
    <w:rsid w:val="00A04B43"/>
    <w:rsid w:val="00A06645"/>
    <w:rsid w:val="00A06D53"/>
    <w:rsid w:val="00A075CB"/>
    <w:rsid w:val="00A13235"/>
    <w:rsid w:val="00A15CA8"/>
    <w:rsid w:val="00A15CAF"/>
    <w:rsid w:val="00A15CBE"/>
    <w:rsid w:val="00A16111"/>
    <w:rsid w:val="00A16A1D"/>
    <w:rsid w:val="00A2024A"/>
    <w:rsid w:val="00A205AE"/>
    <w:rsid w:val="00A2117F"/>
    <w:rsid w:val="00A21872"/>
    <w:rsid w:val="00A22199"/>
    <w:rsid w:val="00A230F9"/>
    <w:rsid w:val="00A241F9"/>
    <w:rsid w:val="00A2599E"/>
    <w:rsid w:val="00A27447"/>
    <w:rsid w:val="00A27625"/>
    <w:rsid w:val="00A27C79"/>
    <w:rsid w:val="00A318A8"/>
    <w:rsid w:val="00A31DEC"/>
    <w:rsid w:val="00A32821"/>
    <w:rsid w:val="00A32A1A"/>
    <w:rsid w:val="00A33E17"/>
    <w:rsid w:val="00A345EA"/>
    <w:rsid w:val="00A37891"/>
    <w:rsid w:val="00A4046C"/>
    <w:rsid w:val="00A40D7F"/>
    <w:rsid w:val="00A40DBC"/>
    <w:rsid w:val="00A411FF"/>
    <w:rsid w:val="00A415CC"/>
    <w:rsid w:val="00A418A1"/>
    <w:rsid w:val="00A41ECA"/>
    <w:rsid w:val="00A42558"/>
    <w:rsid w:val="00A431DC"/>
    <w:rsid w:val="00A43FB0"/>
    <w:rsid w:val="00A448AF"/>
    <w:rsid w:val="00A45660"/>
    <w:rsid w:val="00A459BA"/>
    <w:rsid w:val="00A45AF9"/>
    <w:rsid w:val="00A46D5E"/>
    <w:rsid w:val="00A50C36"/>
    <w:rsid w:val="00A51048"/>
    <w:rsid w:val="00A515CD"/>
    <w:rsid w:val="00A516BA"/>
    <w:rsid w:val="00A529B7"/>
    <w:rsid w:val="00A52AAD"/>
    <w:rsid w:val="00A53389"/>
    <w:rsid w:val="00A5491C"/>
    <w:rsid w:val="00A54F48"/>
    <w:rsid w:val="00A5584F"/>
    <w:rsid w:val="00A5587F"/>
    <w:rsid w:val="00A55B29"/>
    <w:rsid w:val="00A569D9"/>
    <w:rsid w:val="00A5721B"/>
    <w:rsid w:val="00A5736E"/>
    <w:rsid w:val="00A5780B"/>
    <w:rsid w:val="00A5782D"/>
    <w:rsid w:val="00A57EE2"/>
    <w:rsid w:val="00A60AFC"/>
    <w:rsid w:val="00A61A6E"/>
    <w:rsid w:val="00A627DB"/>
    <w:rsid w:val="00A6361F"/>
    <w:rsid w:val="00A6448E"/>
    <w:rsid w:val="00A644F4"/>
    <w:rsid w:val="00A64D48"/>
    <w:rsid w:val="00A655EA"/>
    <w:rsid w:val="00A664E2"/>
    <w:rsid w:val="00A66D48"/>
    <w:rsid w:val="00A66F51"/>
    <w:rsid w:val="00A70731"/>
    <w:rsid w:val="00A71687"/>
    <w:rsid w:val="00A71A01"/>
    <w:rsid w:val="00A71BB3"/>
    <w:rsid w:val="00A75455"/>
    <w:rsid w:val="00A75CC9"/>
    <w:rsid w:val="00A76A5C"/>
    <w:rsid w:val="00A7718F"/>
    <w:rsid w:val="00A77877"/>
    <w:rsid w:val="00A8065B"/>
    <w:rsid w:val="00A8078C"/>
    <w:rsid w:val="00A80861"/>
    <w:rsid w:val="00A80C24"/>
    <w:rsid w:val="00A80DED"/>
    <w:rsid w:val="00A81547"/>
    <w:rsid w:val="00A816AC"/>
    <w:rsid w:val="00A8240D"/>
    <w:rsid w:val="00A8321A"/>
    <w:rsid w:val="00A83764"/>
    <w:rsid w:val="00A837E3"/>
    <w:rsid w:val="00A83969"/>
    <w:rsid w:val="00A83F05"/>
    <w:rsid w:val="00A84775"/>
    <w:rsid w:val="00A848FC"/>
    <w:rsid w:val="00A8513E"/>
    <w:rsid w:val="00A866F9"/>
    <w:rsid w:val="00A873B0"/>
    <w:rsid w:val="00A87CF3"/>
    <w:rsid w:val="00A90095"/>
    <w:rsid w:val="00A9013F"/>
    <w:rsid w:val="00A904B1"/>
    <w:rsid w:val="00A90E86"/>
    <w:rsid w:val="00A91BAD"/>
    <w:rsid w:val="00A92018"/>
    <w:rsid w:val="00A92072"/>
    <w:rsid w:val="00A9260A"/>
    <w:rsid w:val="00A9507F"/>
    <w:rsid w:val="00A95EB2"/>
    <w:rsid w:val="00A97FB7"/>
    <w:rsid w:val="00AA0573"/>
    <w:rsid w:val="00AA0F26"/>
    <w:rsid w:val="00AA2FCC"/>
    <w:rsid w:val="00AA4201"/>
    <w:rsid w:val="00AA54C7"/>
    <w:rsid w:val="00AA5781"/>
    <w:rsid w:val="00AA5976"/>
    <w:rsid w:val="00AA6526"/>
    <w:rsid w:val="00AA6599"/>
    <w:rsid w:val="00AA7434"/>
    <w:rsid w:val="00AA7D3B"/>
    <w:rsid w:val="00AB002E"/>
    <w:rsid w:val="00AB07F0"/>
    <w:rsid w:val="00AB3DD5"/>
    <w:rsid w:val="00AB4582"/>
    <w:rsid w:val="00AB52BA"/>
    <w:rsid w:val="00AB581E"/>
    <w:rsid w:val="00AB6128"/>
    <w:rsid w:val="00AB7061"/>
    <w:rsid w:val="00AB74EC"/>
    <w:rsid w:val="00AB7B15"/>
    <w:rsid w:val="00AC0471"/>
    <w:rsid w:val="00AC222A"/>
    <w:rsid w:val="00AC2CFE"/>
    <w:rsid w:val="00AC5656"/>
    <w:rsid w:val="00AC62CE"/>
    <w:rsid w:val="00AD0429"/>
    <w:rsid w:val="00AD0EBE"/>
    <w:rsid w:val="00AD0EF9"/>
    <w:rsid w:val="00AD3195"/>
    <w:rsid w:val="00AD3AF3"/>
    <w:rsid w:val="00AD3E8E"/>
    <w:rsid w:val="00AD4534"/>
    <w:rsid w:val="00AD4955"/>
    <w:rsid w:val="00AD5CEB"/>
    <w:rsid w:val="00AE06F3"/>
    <w:rsid w:val="00AE0799"/>
    <w:rsid w:val="00AE142C"/>
    <w:rsid w:val="00AE1FDB"/>
    <w:rsid w:val="00AE48A0"/>
    <w:rsid w:val="00AE4DFC"/>
    <w:rsid w:val="00AE664C"/>
    <w:rsid w:val="00AE680B"/>
    <w:rsid w:val="00AE6918"/>
    <w:rsid w:val="00AE746E"/>
    <w:rsid w:val="00AF03BC"/>
    <w:rsid w:val="00AF248B"/>
    <w:rsid w:val="00AF289F"/>
    <w:rsid w:val="00AF3894"/>
    <w:rsid w:val="00AF4195"/>
    <w:rsid w:val="00AF5EA6"/>
    <w:rsid w:val="00AF6459"/>
    <w:rsid w:val="00AF71E8"/>
    <w:rsid w:val="00AF732B"/>
    <w:rsid w:val="00B00238"/>
    <w:rsid w:val="00B00545"/>
    <w:rsid w:val="00B005D7"/>
    <w:rsid w:val="00B00C76"/>
    <w:rsid w:val="00B01AF6"/>
    <w:rsid w:val="00B028E1"/>
    <w:rsid w:val="00B041EA"/>
    <w:rsid w:val="00B05261"/>
    <w:rsid w:val="00B05D29"/>
    <w:rsid w:val="00B05DA8"/>
    <w:rsid w:val="00B07C20"/>
    <w:rsid w:val="00B10C85"/>
    <w:rsid w:val="00B1112F"/>
    <w:rsid w:val="00B11EDC"/>
    <w:rsid w:val="00B12F04"/>
    <w:rsid w:val="00B134E5"/>
    <w:rsid w:val="00B13CC3"/>
    <w:rsid w:val="00B14C6A"/>
    <w:rsid w:val="00B152E1"/>
    <w:rsid w:val="00B16C77"/>
    <w:rsid w:val="00B202BE"/>
    <w:rsid w:val="00B20FA1"/>
    <w:rsid w:val="00B22471"/>
    <w:rsid w:val="00B22EA1"/>
    <w:rsid w:val="00B237A4"/>
    <w:rsid w:val="00B25329"/>
    <w:rsid w:val="00B2534C"/>
    <w:rsid w:val="00B25B7E"/>
    <w:rsid w:val="00B26802"/>
    <w:rsid w:val="00B27E24"/>
    <w:rsid w:val="00B31740"/>
    <w:rsid w:val="00B329AA"/>
    <w:rsid w:val="00B32A2F"/>
    <w:rsid w:val="00B32ACE"/>
    <w:rsid w:val="00B33903"/>
    <w:rsid w:val="00B33A30"/>
    <w:rsid w:val="00B33D2D"/>
    <w:rsid w:val="00B33E0D"/>
    <w:rsid w:val="00B3424D"/>
    <w:rsid w:val="00B36382"/>
    <w:rsid w:val="00B3663B"/>
    <w:rsid w:val="00B37CFB"/>
    <w:rsid w:val="00B40FF2"/>
    <w:rsid w:val="00B410A8"/>
    <w:rsid w:val="00B417C6"/>
    <w:rsid w:val="00B41CDF"/>
    <w:rsid w:val="00B4211B"/>
    <w:rsid w:val="00B4445B"/>
    <w:rsid w:val="00B460CB"/>
    <w:rsid w:val="00B47654"/>
    <w:rsid w:val="00B50590"/>
    <w:rsid w:val="00B508F9"/>
    <w:rsid w:val="00B5180B"/>
    <w:rsid w:val="00B51F50"/>
    <w:rsid w:val="00B52E46"/>
    <w:rsid w:val="00B535B8"/>
    <w:rsid w:val="00B53FD2"/>
    <w:rsid w:val="00B544C0"/>
    <w:rsid w:val="00B546C9"/>
    <w:rsid w:val="00B5470F"/>
    <w:rsid w:val="00B54CC8"/>
    <w:rsid w:val="00B558C5"/>
    <w:rsid w:val="00B55A9A"/>
    <w:rsid w:val="00B57CF5"/>
    <w:rsid w:val="00B6021A"/>
    <w:rsid w:val="00B60FF3"/>
    <w:rsid w:val="00B61676"/>
    <w:rsid w:val="00B632FC"/>
    <w:rsid w:val="00B6333C"/>
    <w:rsid w:val="00B63C08"/>
    <w:rsid w:val="00B6561D"/>
    <w:rsid w:val="00B67C75"/>
    <w:rsid w:val="00B70900"/>
    <w:rsid w:val="00B7187F"/>
    <w:rsid w:val="00B71E6E"/>
    <w:rsid w:val="00B726B2"/>
    <w:rsid w:val="00B72CD0"/>
    <w:rsid w:val="00B740E4"/>
    <w:rsid w:val="00B748F0"/>
    <w:rsid w:val="00B74E14"/>
    <w:rsid w:val="00B74E9A"/>
    <w:rsid w:val="00B75043"/>
    <w:rsid w:val="00B76DE4"/>
    <w:rsid w:val="00B775F9"/>
    <w:rsid w:val="00B80A91"/>
    <w:rsid w:val="00B8139B"/>
    <w:rsid w:val="00B82233"/>
    <w:rsid w:val="00B830C0"/>
    <w:rsid w:val="00B837A1"/>
    <w:rsid w:val="00B83A55"/>
    <w:rsid w:val="00B86390"/>
    <w:rsid w:val="00B86A6F"/>
    <w:rsid w:val="00B86A87"/>
    <w:rsid w:val="00B90497"/>
    <w:rsid w:val="00B90BA8"/>
    <w:rsid w:val="00B94991"/>
    <w:rsid w:val="00B94F18"/>
    <w:rsid w:val="00B959E2"/>
    <w:rsid w:val="00B960A3"/>
    <w:rsid w:val="00BA023A"/>
    <w:rsid w:val="00BA09F4"/>
    <w:rsid w:val="00BA0F25"/>
    <w:rsid w:val="00BA1087"/>
    <w:rsid w:val="00BA16EF"/>
    <w:rsid w:val="00BA1ADC"/>
    <w:rsid w:val="00BA1BDB"/>
    <w:rsid w:val="00BA1F6F"/>
    <w:rsid w:val="00BA2019"/>
    <w:rsid w:val="00BA25AB"/>
    <w:rsid w:val="00BA364C"/>
    <w:rsid w:val="00BA3BC8"/>
    <w:rsid w:val="00BA44E6"/>
    <w:rsid w:val="00BA45B0"/>
    <w:rsid w:val="00BA4F40"/>
    <w:rsid w:val="00BA5264"/>
    <w:rsid w:val="00BA5743"/>
    <w:rsid w:val="00BA660B"/>
    <w:rsid w:val="00BA67E3"/>
    <w:rsid w:val="00BA7F91"/>
    <w:rsid w:val="00BB009D"/>
    <w:rsid w:val="00BB00E8"/>
    <w:rsid w:val="00BB2181"/>
    <w:rsid w:val="00BB3279"/>
    <w:rsid w:val="00BB3EBC"/>
    <w:rsid w:val="00BB41CF"/>
    <w:rsid w:val="00BB4D0C"/>
    <w:rsid w:val="00BB5223"/>
    <w:rsid w:val="00BB57F0"/>
    <w:rsid w:val="00BB5884"/>
    <w:rsid w:val="00BB5AD7"/>
    <w:rsid w:val="00BB5BC0"/>
    <w:rsid w:val="00BB6F89"/>
    <w:rsid w:val="00BB7A50"/>
    <w:rsid w:val="00BC2646"/>
    <w:rsid w:val="00BC3873"/>
    <w:rsid w:val="00BC3EBF"/>
    <w:rsid w:val="00BC3F4D"/>
    <w:rsid w:val="00BC4537"/>
    <w:rsid w:val="00BC7EE8"/>
    <w:rsid w:val="00BD0818"/>
    <w:rsid w:val="00BD088C"/>
    <w:rsid w:val="00BD0DFF"/>
    <w:rsid w:val="00BD1028"/>
    <w:rsid w:val="00BD1429"/>
    <w:rsid w:val="00BD14B9"/>
    <w:rsid w:val="00BD1F2A"/>
    <w:rsid w:val="00BD2BDE"/>
    <w:rsid w:val="00BD37A3"/>
    <w:rsid w:val="00BD3904"/>
    <w:rsid w:val="00BD4CF1"/>
    <w:rsid w:val="00BD4D70"/>
    <w:rsid w:val="00BD5034"/>
    <w:rsid w:val="00BD57F1"/>
    <w:rsid w:val="00BD5BED"/>
    <w:rsid w:val="00BD7AB5"/>
    <w:rsid w:val="00BE06C7"/>
    <w:rsid w:val="00BE102F"/>
    <w:rsid w:val="00BE2697"/>
    <w:rsid w:val="00BE3458"/>
    <w:rsid w:val="00BE3F1F"/>
    <w:rsid w:val="00BE4A25"/>
    <w:rsid w:val="00BE4E91"/>
    <w:rsid w:val="00BE6266"/>
    <w:rsid w:val="00BE66C4"/>
    <w:rsid w:val="00BE68BE"/>
    <w:rsid w:val="00BE74EA"/>
    <w:rsid w:val="00BE7F3C"/>
    <w:rsid w:val="00BF126F"/>
    <w:rsid w:val="00BF1F5B"/>
    <w:rsid w:val="00BF201A"/>
    <w:rsid w:val="00BF2A93"/>
    <w:rsid w:val="00BF47F2"/>
    <w:rsid w:val="00BF4B45"/>
    <w:rsid w:val="00BF4C86"/>
    <w:rsid w:val="00BF50DB"/>
    <w:rsid w:val="00BF5ABE"/>
    <w:rsid w:val="00C00017"/>
    <w:rsid w:val="00C009C6"/>
    <w:rsid w:val="00C00E9B"/>
    <w:rsid w:val="00C010D8"/>
    <w:rsid w:val="00C021C0"/>
    <w:rsid w:val="00C0275B"/>
    <w:rsid w:val="00C039F8"/>
    <w:rsid w:val="00C03BDF"/>
    <w:rsid w:val="00C05A28"/>
    <w:rsid w:val="00C07185"/>
    <w:rsid w:val="00C1099A"/>
    <w:rsid w:val="00C14BE3"/>
    <w:rsid w:val="00C1620D"/>
    <w:rsid w:val="00C17C37"/>
    <w:rsid w:val="00C20CF4"/>
    <w:rsid w:val="00C21D4F"/>
    <w:rsid w:val="00C2268B"/>
    <w:rsid w:val="00C23028"/>
    <w:rsid w:val="00C233A2"/>
    <w:rsid w:val="00C240EE"/>
    <w:rsid w:val="00C25C12"/>
    <w:rsid w:val="00C2776D"/>
    <w:rsid w:val="00C27DD2"/>
    <w:rsid w:val="00C309DA"/>
    <w:rsid w:val="00C31FDB"/>
    <w:rsid w:val="00C32056"/>
    <w:rsid w:val="00C36AFD"/>
    <w:rsid w:val="00C36D2A"/>
    <w:rsid w:val="00C376CE"/>
    <w:rsid w:val="00C40084"/>
    <w:rsid w:val="00C402E1"/>
    <w:rsid w:val="00C41E2F"/>
    <w:rsid w:val="00C42028"/>
    <w:rsid w:val="00C4306B"/>
    <w:rsid w:val="00C450F4"/>
    <w:rsid w:val="00C476C0"/>
    <w:rsid w:val="00C4778F"/>
    <w:rsid w:val="00C515BE"/>
    <w:rsid w:val="00C51FF7"/>
    <w:rsid w:val="00C533E9"/>
    <w:rsid w:val="00C54B2A"/>
    <w:rsid w:val="00C54B72"/>
    <w:rsid w:val="00C55043"/>
    <w:rsid w:val="00C55D60"/>
    <w:rsid w:val="00C57D5F"/>
    <w:rsid w:val="00C57D65"/>
    <w:rsid w:val="00C61C37"/>
    <w:rsid w:val="00C62850"/>
    <w:rsid w:val="00C62ECA"/>
    <w:rsid w:val="00C649D9"/>
    <w:rsid w:val="00C67113"/>
    <w:rsid w:val="00C679AF"/>
    <w:rsid w:val="00C70273"/>
    <w:rsid w:val="00C72266"/>
    <w:rsid w:val="00C72961"/>
    <w:rsid w:val="00C74143"/>
    <w:rsid w:val="00C74F1B"/>
    <w:rsid w:val="00C74FD3"/>
    <w:rsid w:val="00C75A6A"/>
    <w:rsid w:val="00C75D50"/>
    <w:rsid w:val="00C76B51"/>
    <w:rsid w:val="00C7722F"/>
    <w:rsid w:val="00C7796E"/>
    <w:rsid w:val="00C81365"/>
    <w:rsid w:val="00C81E1E"/>
    <w:rsid w:val="00C84318"/>
    <w:rsid w:val="00C85021"/>
    <w:rsid w:val="00C85457"/>
    <w:rsid w:val="00C85764"/>
    <w:rsid w:val="00C85E0C"/>
    <w:rsid w:val="00C866B4"/>
    <w:rsid w:val="00C867CB"/>
    <w:rsid w:val="00C90C5A"/>
    <w:rsid w:val="00C918CD"/>
    <w:rsid w:val="00C936C4"/>
    <w:rsid w:val="00C937BA"/>
    <w:rsid w:val="00C93CAA"/>
    <w:rsid w:val="00C94405"/>
    <w:rsid w:val="00C95502"/>
    <w:rsid w:val="00C95DE1"/>
    <w:rsid w:val="00C974FD"/>
    <w:rsid w:val="00C97D59"/>
    <w:rsid w:val="00CA146D"/>
    <w:rsid w:val="00CA3470"/>
    <w:rsid w:val="00CA47D5"/>
    <w:rsid w:val="00CA5F30"/>
    <w:rsid w:val="00CA756E"/>
    <w:rsid w:val="00CA7F14"/>
    <w:rsid w:val="00CB0549"/>
    <w:rsid w:val="00CB1025"/>
    <w:rsid w:val="00CB20D2"/>
    <w:rsid w:val="00CB4C19"/>
    <w:rsid w:val="00CB4C63"/>
    <w:rsid w:val="00CB69D9"/>
    <w:rsid w:val="00CB6A28"/>
    <w:rsid w:val="00CB6FE3"/>
    <w:rsid w:val="00CB769F"/>
    <w:rsid w:val="00CB7732"/>
    <w:rsid w:val="00CB778B"/>
    <w:rsid w:val="00CC0414"/>
    <w:rsid w:val="00CC1285"/>
    <w:rsid w:val="00CC1852"/>
    <w:rsid w:val="00CC22F7"/>
    <w:rsid w:val="00CC2EE8"/>
    <w:rsid w:val="00CC4EF1"/>
    <w:rsid w:val="00CC5248"/>
    <w:rsid w:val="00CC65A8"/>
    <w:rsid w:val="00CC796D"/>
    <w:rsid w:val="00CD0172"/>
    <w:rsid w:val="00CD1AFD"/>
    <w:rsid w:val="00CD2075"/>
    <w:rsid w:val="00CD2761"/>
    <w:rsid w:val="00CD30DA"/>
    <w:rsid w:val="00CD5422"/>
    <w:rsid w:val="00CD5FD6"/>
    <w:rsid w:val="00CD6961"/>
    <w:rsid w:val="00CD6D84"/>
    <w:rsid w:val="00CD72B3"/>
    <w:rsid w:val="00CE06BB"/>
    <w:rsid w:val="00CE2DBA"/>
    <w:rsid w:val="00CE3F3D"/>
    <w:rsid w:val="00CE6AF5"/>
    <w:rsid w:val="00CE7DBE"/>
    <w:rsid w:val="00CF38FD"/>
    <w:rsid w:val="00CF4185"/>
    <w:rsid w:val="00CF5A89"/>
    <w:rsid w:val="00CF5C15"/>
    <w:rsid w:val="00CF661C"/>
    <w:rsid w:val="00CF68F1"/>
    <w:rsid w:val="00CF69D5"/>
    <w:rsid w:val="00CF72E3"/>
    <w:rsid w:val="00D00EB8"/>
    <w:rsid w:val="00D0112A"/>
    <w:rsid w:val="00D02398"/>
    <w:rsid w:val="00D02C97"/>
    <w:rsid w:val="00D02FAE"/>
    <w:rsid w:val="00D04149"/>
    <w:rsid w:val="00D04331"/>
    <w:rsid w:val="00D04EB2"/>
    <w:rsid w:val="00D04EBC"/>
    <w:rsid w:val="00D05463"/>
    <w:rsid w:val="00D05D8A"/>
    <w:rsid w:val="00D071F9"/>
    <w:rsid w:val="00D077B7"/>
    <w:rsid w:val="00D077DF"/>
    <w:rsid w:val="00D07EB2"/>
    <w:rsid w:val="00D1005A"/>
    <w:rsid w:val="00D1104D"/>
    <w:rsid w:val="00D11230"/>
    <w:rsid w:val="00D1142B"/>
    <w:rsid w:val="00D115D6"/>
    <w:rsid w:val="00D11BB5"/>
    <w:rsid w:val="00D14047"/>
    <w:rsid w:val="00D14896"/>
    <w:rsid w:val="00D15C06"/>
    <w:rsid w:val="00D16151"/>
    <w:rsid w:val="00D21008"/>
    <w:rsid w:val="00D21253"/>
    <w:rsid w:val="00D21D77"/>
    <w:rsid w:val="00D22C21"/>
    <w:rsid w:val="00D2301E"/>
    <w:rsid w:val="00D231C0"/>
    <w:rsid w:val="00D231FD"/>
    <w:rsid w:val="00D259E2"/>
    <w:rsid w:val="00D306DD"/>
    <w:rsid w:val="00D30D1C"/>
    <w:rsid w:val="00D31878"/>
    <w:rsid w:val="00D32325"/>
    <w:rsid w:val="00D33EFF"/>
    <w:rsid w:val="00D34EEC"/>
    <w:rsid w:val="00D35D0B"/>
    <w:rsid w:val="00D3649A"/>
    <w:rsid w:val="00D3695C"/>
    <w:rsid w:val="00D374FD"/>
    <w:rsid w:val="00D377E9"/>
    <w:rsid w:val="00D37FAD"/>
    <w:rsid w:val="00D411C0"/>
    <w:rsid w:val="00D417C7"/>
    <w:rsid w:val="00D41F42"/>
    <w:rsid w:val="00D44348"/>
    <w:rsid w:val="00D44E8B"/>
    <w:rsid w:val="00D45A7D"/>
    <w:rsid w:val="00D460D4"/>
    <w:rsid w:val="00D46C9F"/>
    <w:rsid w:val="00D46D9A"/>
    <w:rsid w:val="00D47859"/>
    <w:rsid w:val="00D47AD3"/>
    <w:rsid w:val="00D47BF7"/>
    <w:rsid w:val="00D47D59"/>
    <w:rsid w:val="00D47F56"/>
    <w:rsid w:val="00D50FBE"/>
    <w:rsid w:val="00D5147D"/>
    <w:rsid w:val="00D52385"/>
    <w:rsid w:val="00D52933"/>
    <w:rsid w:val="00D54096"/>
    <w:rsid w:val="00D55A9A"/>
    <w:rsid w:val="00D616E6"/>
    <w:rsid w:val="00D61FB1"/>
    <w:rsid w:val="00D6225D"/>
    <w:rsid w:val="00D64425"/>
    <w:rsid w:val="00D66AB6"/>
    <w:rsid w:val="00D702F3"/>
    <w:rsid w:val="00D71642"/>
    <w:rsid w:val="00D7294D"/>
    <w:rsid w:val="00D72B7B"/>
    <w:rsid w:val="00D73070"/>
    <w:rsid w:val="00D73705"/>
    <w:rsid w:val="00D73DC5"/>
    <w:rsid w:val="00D74791"/>
    <w:rsid w:val="00D748AA"/>
    <w:rsid w:val="00D74E35"/>
    <w:rsid w:val="00D750B6"/>
    <w:rsid w:val="00D7518B"/>
    <w:rsid w:val="00D76C48"/>
    <w:rsid w:val="00D77217"/>
    <w:rsid w:val="00D7741B"/>
    <w:rsid w:val="00D8074D"/>
    <w:rsid w:val="00D80839"/>
    <w:rsid w:val="00D808AA"/>
    <w:rsid w:val="00D821A4"/>
    <w:rsid w:val="00D832D3"/>
    <w:rsid w:val="00D83914"/>
    <w:rsid w:val="00D83F0A"/>
    <w:rsid w:val="00D85952"/>
    <w:rsid w:val="00D86A48"/>
    <w:rsid w:val="00D87394"/>
    <w:rsid w:val="00D87D60"/>
    <w:rsid w:val="00D90482"/>
    <w:rsid w:val="00D90AE7"/>
    <w:rsid w:val="00D9130A"/>
    <w:rsid w:val="00D9445D"/>
    <w:rsid w:val="00D94681"/>
    <w:rsid w:val="00D94EAF"/>
    <w:rsid w:val="00D951E7"/>
    <w:rsid w:val="00D95533"/>
    <w:rsid w:val="00D95D63"/>
    <w:rsid w:val="00DA0ABF"/>
    <w:rsid w:val="00DA0EE9"/>
    <w:rsid w:val="00DA13D2"/>
    <w:rsid w:val="00DA264B"/>
    <w:rsid w:val="00DA38D7"/>
    <w:rsid w:val="00DA3998"/>
    <w:rsid w:val="00DA3E49"/>
    <w:rsid w:val="00DA4F06"/>
    <w:rsid w:val="00DA5E95"/>
    <w:rsid w:val="00DA6219"/>
    <w:rsid w:val="00DA6C34"/>
    <w:rsid w:val="00DA7AC5"/>
    <w:rsid w:val="00DB0899"/>
    <w:rsid w:val="00DB13CE"/>
    <w:rsid w:val="00DB1D4D"/>
    <w:rsid w:val="00DB2949"/>
    <w:rsid w:val="00DB3B65"/>
    <w:rsid w:val="00DB3CC1"/>
    <w:rsid w:val="00DB3D28"/>
    <w:rsid w:val="00DB475B"/>
    <w:rsid w:val="00DB6865"/>
    <w:rsid w:val="00DB689C"/>
    <w:rsid w:val="00DC011C"/>
    <w:rsid w:val="00DC02D8"/>
    <w:rsid w:val="00DC0CC2"/>
    <w:rsid w:val="00DC30BE"/>
    <w:rsid w:val="00DC39F0"/>
    <w:rsid w:val="00DC3FFC"/>
    <w:rsid w:val="00DC4D75"/>
    <w:rsid w:val="00DC4E4F"/>
    <w:rsid w:val="00DC54E6"/>
    <w:rsid w:val="00DC5EBC"/>
    <w:rsid w:val="00DC6132"/>
    <w:rsid w:val="00DC6543"/>
    <w:rsid w:val="00DC74CC"/>
    <w:rsid w:val="00DC7752"/>
    <w:rsid w:val="00DD02D5"/>
    <w:rsid w:val="00DD0F84"/>
    <w:rsid w:val="00DD0F88"/>
    <w:rsid w:val="00DD1786"/>
    <w:rsid w:val="00DD182D"/>
    <w:rsid w:val="00DD21A4"/>
    <w:rsid w:val="00DD2698"/>
    <w:rsid w:val="00DD2967"/>
    <w:rsid w:val="00DD2DD4"/>
    <w:rsid w:val="00DD4B4F"/>
    <w:rsid w:val="00DD6C7E"/>
    <w:rsid w:val="00DD747D"/>
    <w:rsid w:val="00DE1513"/>
    <w:rsid w:val="00DE1921"/>
    <w:rsid w:val="00DE1F29"/>
    <w:rsid w:val="00DE3340"/>
    <w:rsid w:val="00DE44B8"/>
    <w:rsid w:val="00DE5268"/>
    <w:rsid w:val="00DE5B4F"/>
    <w:rsid w:val="00DE630C"/>
    <w:rsid w:val="00DE70C9"/>
    <w:rsid w:val="00DF1AB3"/>
    <w:rsid w:val="00DF4B9D"/>
    <w:rsid w:val="00DF696F"/>
    <w:rsid w:val="00E00893"/>
    <w:rsid w:val="00E01F35"/>
    <w:rsid w:val="00E121AA"/>
    <w:rsid w:val="00E134B0"/>
    <w:rsid w:val="00E136B9"/>
    <w:rsid w:val="00E15BDC"/>
    <w:rsid w:val="00E165A3"/>
    <w:rsid w:val="00E16E6A"/>
    <w:rsid w:val="00E20307"/>
    <w:rsid w:val="00E23930"/>
    <w:rsid w:val="00E23973"/>
    <w:rsid w:val="00E244E0"/>
    <w:rsid w:val="00E24EB2"/>
    <w:rsid w:val="00E25BD2"/>
    <w:rsid w:val="00E25E88"/>
    <w:rsid w:val="00E26135"/>
    <w:rsid w:val="00E3174B"/>
    <w:rsid w:val="00E3190E"/>
    <w:rsid w:val="00E31990"/>
    <w:rsid w:val="00E410D2"/>
    <w:rsid w:val="00E41C66"/>
    <w:rsid w:val="00E4223E"/>
    <w:rsid w:val="00E42861"/>
    <w:rsid w:val="00E43AC2"/>
    <w:rsid w:val="00E456E3"/>
    <w:rsid w:val="00E45BC0"/>
    <w:rsid w:val="00E46240"/>
    <w:rsid w:val="00E46891"/>
    <w:rsid w:val="00E46AB9"/>
    <w:rsid w:val="00E47324"/>
    <w:rsid w:val="00E503A9"/>
    <w:rsid w:val="00E5044E"/>
    <w:rsid w:val="00E50696"/>
    <w:rsid w:val="00E50A94"/>
    <w:rsid w:val="00E523B5"/>
    <w:rsid w:val="00E53805"/>
    <w:rsid w:val="00E54CA2"/>
    <w:rsid w:val="00E54E35"/>
    <w:rsid w:val="00E56544"/>
    <w:rsid w:val="00E56BA5"/>
    <w:rsid w:val="00E60598"/>
    <w:rsid w:val="00E605F3"/>
    <w:rsid w:val="00E60DA1"/>
    <w:rsid w:val="00E63DC3"/>
    <w:rsid w:val="00E6438D"/>
    <w:rsid w:val="00E64DCE"/>
    <w:rsid w:val="00E65708"/>
    <w:rsid w:val="00E65900"/>
    <w:rsid w:val="00E6591D"/>
    <w:rsid w:val="00E6652F"/>
    <w:rsid w:val="00E66D66"/>
    <w:rsid w:val="00E67285"/>
    <w:rsid w:val="00E67EDB"/>
    <w:rsid w:val="00E70768"/>
    <w:rsid w:val="00E712A8"/>
    <w:rsid w:val="00E719BD"/>
    <w:rsid w:val="00E7377E"/>
    <w:rsid w:val="00E741FA"/>
    <w:rsid w:val="00E747E6"/>
    <w:rsid w:val="00E74EB0"/>
    <w:rsid w:val="00E75E51"/>
    <w:rsid w:val="00E76B69"/>
    <w:rsid w:val="00E77727"/>
    <w:rsid w:val="00E77AB4"/>
    <w:rsid w:val="00E80125"/>
    <w:rsid w:val="00E80487"/>
    <w:rsid w:val="00E805C2"/>
    <w:rsid w:val="00E80A31"/>
    <w:rsid w:val="00E81ADC"/>
    <w:rsid w:val="00E81DDE"/>
    <w:rsid w:val="00E825D2"/>
    <w:rsid w:val="00E842EC"/>
    <w:rsid w:val="00E8499F"/>
    <w:rsid w:val="00E855C7"/>
    <w:rsid w:val="00E85F76"/>
    <w:rsid w:val="00E867C0"/>
    <w:rsid w:val="00E92B0B"/>
    <w:rsid w:val="00E930A8"/>
    <w:rsid w:val="00E94709"/>
    <w:rsid w:val="00E95D50"/>
    <w:rsid w:val="00E96D53"/>
    <w:rsid w:val="00E97ECB"/>
    <w:rsid w:val="00EA192E"/>
    <w:rsid w:val="00EA19BA"/>
    <w:rsid w:val="00EA48BB"/>
    <w:rsid w:val="00EA5115"/>
    <w:rsid w:val="00EA63FA"/>
    <w:rsid w:val="00EA6CED"/>
    <w:rsid w:val="00EB02DE"/>
    <w:rsid w:val="00EB4F57"/>
    <w:rsid w:val="00EB6F2A"/>
    <w:rsid w:val="00EC03D8"/>
    <w:rsid w:val="00EC0ABC"/>
    <w:rsid w:val="00EC1493"/>
    <w:rsid w:val="00EC1E73"/>
    <w:rsid w:val="00EC24E8"/>
    <w:rsid w:val="00EC2C1A"/>
    <w:rsid w:val="00EC492E"/>
    <w:rsid w:val="00EC542F"/>
    <w:rsid w:val="00EC600B"/>
    <w:rsid w:val="00EC657D"/>
    <w:rsid w:val="00ED093F"/>
    <w:rsid w:val="00ED0ADC"/>
    <w:rsid w:val="00ED1C34"/>
    <w:rsid w:val="00ED3F6C"/>
    <w:rsid w:val="00ED5056"/>
    <w:rsid w:val="00ED5F0E"/>
    <w:rsid w:val="00ED688D"/>
    <w:rsid w:val="00ED6FB2"/>
    <w:rsid w:val="00EE039C"/>
    <w:rsid w:val="00EE17DE"/>
    <w:rsid w:val="00EE39C1"/>
    <w:rsid w:val="00EE41CC"/>
    <w:rsid w:val="00EE4EDD"/>
    <w:rsid w:val="00EE6044"/>
    <w:rsid w:val="00EE69D4"/>
    <w:rsid w:val="00EE6CBB"/>
    <w:rsid w:val="00EF0058"/>
    <w:rsid w:val="00EF0447"/>
    <w:rsid w:val="00EF0731"/>
    <w:rsid w:val="00EF0EC7"/>
    <w:rsid w:val="00EF10DC"/>
    <w:rsid w:val="00EF16B9"/>
    <w:rsid w:val="00EF26D9"/>
    <w:rsid w:val="00EF2917"/>
    <w:rsid w:val="00EF3BBF"/>
    <w:rsid w:val="00EF446C"/>
    <w:rsid w:val="00EF5821"/>
    <w:rsid w:val="00EF5DCA"/>
    <w:rsid w:val="00EF6B5F"/>
    <w:rsid w:val="00EF6E07"/>
    <w:rsid w:val="00EF731A"/>
    <w:rsid w:val="00EF773F"/>
    <w:rsid w:val="00EF7756"/>
    <w:rsid w:val="00EF7A02"/>
    <w:rsid w:val="00F00853"/>
    <w:rsid w:val="00F0096F"/>
    <w:rsid w:val="00F01532"/>
    <w:rsid w:val="00F03085"/>
    <w:rsid w:val="00F04DA0"/>
    <w:rsid w:val="00F0560D"/>
    <w:rsid w:val="00F105E5"/>
    <w:rsid w:val="00F130DC"/>
    <w:rsid w:val="00F1323E"/>
    <w:rsid w:val="00F135B4"/>
    <w:rsid w:val="00F13CBB"/>
    <w:rsid w:val="00F1416C"/>
    <w:rsid w:val="00F15F4A"/>
    <w:rsid w:val="00F16871"/>
    <w:rsid w:val="00F16B8C"/>
    <w:rsid w:val="00F17510"/>
    <w:rsid w:val="00F17664"/>
    <w:rsid w:val="00F21965"/>
    <w:rsid w:val="00F226A4"/>
    <w:rsid w:val="00F22CE6"/>
    <w:rsid w:val="00F23BAE"/>
    <w:rsid w:val="00F24AB7"/>
    <w:rsid w:val="00F25B90"/>
    <w:rsid w:val="00F26698"/>
    <w:rsid w:val="00F27080"/>
    <w:rsid w:val="00F30B2E"/>
    <w:rsid w:val="00F33194"/>
    <w:rsid w:val="00F33A31"/>
    <w:rsid w:val="00F33AE1"/>
    <w:rsid w:val="00F33E9C"/>
    <w:rsid w:val="00F3443D"/>
    <w:rsid w:val="00F35E60"/>
    <w:rsid w:val="00F35ECC"/>
    <w:rsid w:val="00F36411"/>
    <w:rsid w:val="00F36939"/>
    <w:rsid w:val="00F37799"/>
    <w:rsid w:val="00F406A9"/>
    <w:rsid w:val="00F4093E"/>
    <w:rsid w:val="00F42428"/>
    <w:rsid w:val="00F42CA1"/>
    <w:rsid w:val="00F42EA7"/>
    <w:rsid w:val="00F43F18"/>
    <w:rsid w:val="00F44E3B"/>
    <w:rsid w:val="00F46950"/>
    <w:rsid w:val="00F471D8"/>
    <w:rsid w:val="00F51F52"/>
    <w:rsid w:val="00F53D53"/>
    <w:rsid w:val="00F545A0"/>
    <w:rsid w:val="00F55377"/>
    <w:rsid w:val="00F56049"/>
    <w:rsid w:val="00F57593"/>
    <w:rsid w:val="00F60075"/>
    <w:rsid w:val="00F60FFE"/>
    <w:rsid w:val="00F63597"/>
    <w:rsid w:val="00F64EA9"/>
    <w:rsid w:val="00F65B86"/>
    <w:rsid w:val="00F6643D"/>
    <w:rsid w:val="00F675B2"/>
    <w:rsid w:val="00F67649"/>
    <w:rsid w:val="00F6791C"/>
    <w:rsid w:val="00F7170F"/>
    <w:rsid w:val="00F71975"/>
    <w:rsid w:val="00F73D2B"/>
    <w:rsid w:val="00F76B29"/>
    <w:rsid w:val="00F77AD2"/>
    <w:rsid w:val="00F77C48"/>
    <w:rsid w:val="00F77E96"/>
    <w:rsid w:val="00F81526"/>
    <w:rsid w:val="00F829FF"/>
    <w:rsid w:val="00F8434B"/>
    <w:rsid w:val="00F876C0"/>
    <w:rsid w:val="00F92974"/>
    <w:rsid w:val="00F93712"/>
    <w:rsid w:val="00F9387E"/>
    <w:rsid w:val="00F93D79"/>
    <w:rsid w:val="00F94217"/>
    <w:rsid w:val="00F97465"/>
    <w:rsid w:val="00FA03B0"/>
    <w:rsid w:val="00FA147A"/>
    <w:rsid w:val="00FA2B24"/>
    <w:rsid w:val="00FA3B50"/>
    <w:rsid w:val="00FA468A"/>
    <w:rsid w:val="00FA501A"/>
    <w:rsid w:val="00FA5139"/>
    <w:rsid w:val="00FA6548"/>
    <w:rsid w:val="00FA7253"/>
    <w:rsid w:val="00FA7BCC"/>
    <w:rsid w:val="00FB2B33"/>
    <w:rsid w:val="00FB2E9C"/>
    <w:rsid w:val="00FB45EB"/>
    <w:rsid w:val="00FB4B15"/>
    <w:rsid w:val="00FB4ED3"/>
    <w:rsid w:val="00FB578B"/>
    <w:rsid w:val="00FB5A2C"/>
    <w:rsid w:val="00FB5B72"/>
    <w:rsid w:val="00FB7358"/>
    <w:rsid w:val="00FC0BCD"/>
    <w:rsid w:val="00FC0C63"/>
    <w:rsid w:val="00FC1804"/>
    <w:rsid w:val="00FC1B60"/>
    <w:rsid w:val="00FC4B66"/>
    <w:rsid w:val="00FC4BCA"/>
    <w:rsid w:val="00FC4F41"/>
    <w:rsid w:val="00FC510D"/>
    <w:rsid w:val="00FC6481"/>
    <w:rsid w:val="00FC6CBE"/>
    <w:rsid w:val="00FC73D8"/>
    <w:rsid w:val="00FD105E"/>
    <w:rsid w:val="00FD2D26"/>
    <w:rsid w:val="00FD3E0D"/>
    <w:rsid w:val="00FD463D"/>
    <w:rsid w:val="00FD47D8"/>
    <w:rsid w:val="00FD4BDF"/>
    <w:rsid w:val="00FD52C9"/>
    <w:rsid w:val="00FD591C"/>
    <w:rsid w:val="00FD592E"/>
    <w:rsid w:val="00FD5A9C"/>
    <w:rsid w:val="00FD6387"/>
    <w:rsid w:val="00FE063B"/>
    <w:rsid w:val="00FE196F"/>
    <w:rsid w:val="00FE2637"/>
    <w:rsid w:val="00FE298E"/>
    <w:rsid w:val="00FE31C6"/>
    <w:rsid w:val="00FE63B3"/>
    <w:rsid w:val="00FE7634"/>
    <w:rsid w:val="00FE7769"/>
    <w:rsid w:val="00FF0657"/>
    <w:rsid w:val="00FF22D7"/>
    <w:rsid w:val="00FF2F0B"/>
    <w:rsid w:val="00FF30FC"/>
    <w:rsid w:val="00FF3221"/>
    <w:rsid w:val="00FF4EFE"/>
    <w:rsid w:val="00FF5586"/>
    <w:rsid w:val="00FF6AFE"/>
    <w:rsid w:val="00FF6BCB"/>
    <w:rsid w:val="00FF7B2D"/>
    <w:rsid w:val="00FF7D03"/>
    <w:rsid w:val="041421FF"/>
    <w:rsid w:val="064105A6"/>
    <w:rsid w:val="0874209B"/>
    <w:rsid w:val="0C6A4139"/>
    <w:rsid w:val="0DA218A2"/>
    <w:rsid w:val="0DB53554"/>
    <w:rsid w:val="11A26B6D"/>
    <w:rsid w:val="13125188"/>
    <w:rsid w:val="140A615F"/>
    <w:rsid w:val="14897C97"/>
    <w:rsid w:val="15AB3CDA"/>
    <w:rsid w:val="16734DE7"/>
    <w:rsid w:val="17980367"/>
    <w:rsid w:val="190E2B7B"/>
    <w:rsid w:val="1A064D52"/>
    <w:rsid w:val="1A977465"/>
    <w:rsid w:val="1B1F0B0A"/>
    <w:rsid w:val="1DEE5287"/>
    <w:rsid w:val="217D7482"/>
    <w:rsid w:val="23FF1B5C"/>
    <w:rsid w:val="247A49EB"/>
    <w:rsid w:val="25365942"/>
    <w:rsid w:val="26AA5A5F"/>
    <w:rsid w:val="26DF5C44"/>
    <w:rsid w:val="296B502F"/>
    <w:rsid w:val="2A711D5E"/>
    <w:rsid w:val="2C941FA5"/>
    <w:rsid w:val="2CBF5DEF"/>
    <w:rsid w:val="2D513B76"/>
    <w:rsid w:val="2FD85881"/>
    <w:rsid w:val="36245379"/>
    <w:rsid w:val="37CE7E0A"/>
    <w:rsid w:val="39EC5067"/>
    <w:rsid w:val="3D1C3432"/>
    <w:rsid w:val="3D920647"/>
    <w:rsid w:val="3E0416AC"/>
    <w:rsid w:val="3E3F354E"/>
    <w:rsid w:val="3E7173C1"/>
    <w:rsid w:val="3F9C5D4A"/>
    <w:rsid w:val="3FC45BCA"/>
    <w:rsid w:val="41A359BA"/>
    <w:rsid w:val="42141698"/>
    <w:rsid w:val="426317F2"/>
    <w:rsid w:val="434B521F"/>
    <w:rsid w:val="44B113B8"/>
    <w:rsid w:val="45905ED1"/>
    <w:rsid w:val="459A10C0"/>
    <w:rsid w:val="47E4154F"/>
    <w:rsid w:val="48CE75B2"/>
    <w:rsid w:val="4A155DAE"/>
    <w:rsid w:val="4B700A60"/>
    <w:rsid w:val="4BE30BED"/>
    <w:rsid w:val="4C243794"/>
    <w:rsid w:val="51C60C07"/>
    <w:rsid w:val="527D1CB6"/>
    <w:rsid w:val="528318FD"/>
    <w:rsid w:val="529C59D6"/>
    <w:rsid w:val="541D3F9D"/>
    <w:rsid w:val="583878B4"/>
    <w:rsid w:val="58E94546"/>
    <w:rsid w:val="590E3300"/>
    <w:rsid w:val="5AD81ECB"/>
    <w:rsid w:val="5E0C3F06"/>
    <w:rsid w:val="60863C2C"/>
    <w:rsid w:val="631B772D"/>
    <w:rsid w:val="632E240B"/>
    <w:rsid w:val="64654EB7"/>
    <w:rsid w:val="65E07869"/>
    <w:rsid w:val="66E459E8"/>
    <w:rsid w:val="68BE25E9"/>
    <w:rsid w:val="68FF2B20"/>
    <w:rsid w:val="698F7637"/>
    <w:rsid w:val="6B896593"/>
    <w:rsid w:val="6EB1698B"/>
    <w:rsid w:val="71580595"/>
    <w:rsid w:val="73140BA7"/>
    <w:rsid w:val="73CE2341"/>
    <w:rsid w:val="73D12DA4"/>
    <w:rsid w:val="754C59EE"/>
    <w:rsid w:val="75AD579D"/>
    <w:rsid w:val="78C60A19"/>
    <w:rsid w:val="7BD57181"/>
    <w:rsid w:val="7D256B35"/>
    <w:rsid w:val="7ED53039"/>
    <w:rsid w:val="7F6B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name="header"/>
    <w:lsdException w:qFormat="1" w:unhideWhenUsed="0"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adjustRightInd w:val="0"/>
      <w:snapToGrid w:val="0"/>
      <w:spacing w:line="360" w:lineRule="auto"/>
      <w:outlineLvl w:val="0"/>
    </w:pPr>
    <w:rPr>
      <w:rFonts w:ascii="宋体" w:hAnsi="宋体"/>
      <w:b/>
      <w:bCs/>
      <w:color w:val="000000"/>
      <w:kern w:val="44"/>
      <w:sz w:val="28"/>
      <w:szCs w:val="44"/>
    </w:rPr>
  </w:style>
  <w:style w:type="paragraph" w:styleId="6">
    <w:name w:val="heading 2"/>
    <w:basedOn w:val="1"/>
    <w:next w:val="1"/>
    <w:qFormat/>
    <w:uiPriority w:val="0"/>
    <w:pPr>
      <w:adjustRightInd w:val="0"/>
      <w:snapToGrid w:val="0"/>
      <w:spacing w:line="360" w:lineRule="auto"/>
      <w:jc w:val="left"/>
      <w:outlineLvl w:val="1"/>
    </w:pPr>
    <w:rPr>
      <w:rFonts w:ascii="宋体" w:hAnsi="宋体"/>
      <w:b/>
      <w:bCs/>
      <w:snapToGrid w:val="0"/>
      <w:color w:val="000000"/>
      <w:kern w:val="0"/>
      <w:szCs w:val="32"/>
    </w:rPr>
  </w:style>
  <w:style w:type="paragraph" w:styleId="7">
    <w:name w:val="heading 3"/>
    <w:basedOn w:val="1"/>
    <w:next w:val="1"/>
    <w:link w:val="48"/>
    <w:qFormat/>
    <w:uiPriority w:val="0"/>
    <w:pPr>
      <w:adjustRightInd w:val="0"/>
      <w:snapToGrid w:val="0"/>
      <w:spacing w:line="360" w:lineRule="auto"/>
      <w:jc w:val="left"/>
      <w:outlineLvl w:val="2"/>
    </w:pPr>
    <w:rPr>
      <w:rFonts w:ascii="宋体" w:hAnsi="Arial"/>
      <w:snapToGrid w:val="0"/>
      <w:color w:val="000000"/>
      <w:kern w:val="0"/>
      <w:szCs w:val="20"/>
    </w:rPr>
  </w:style>
  <w:style w:type="paragraph" w:styleId="8">
    <w:name w:val="heading 4"/>
    <w:basedOn w:val="1"/>
    <w:next w:val="1"/>
    <w:qFormat/>
    <w:uiPriority w:val="0"/>
    <w:pPr>
      <w:numPr>
        <w:ilvl w:val="0"/>
        <w:numId w:val="1"/>
      </w:numPr>
      <w:adjustRightInd w:val="0"/>
      <w:snapToGrid w:val="0"/>
      <w:spacing w:line="360" w:lineRule="auto"/>
      <w:jc w:val="left"/>
      <w:outlineLvl w:val="3"/>
    </w:pPr>
    <w:rPr>
      <w:rFonts w:ascii="宋体" w:hAnsi="宋体"/>
      <w:bCs/>
      <w:snapToGrid w:val="0"/>
      <w:color w:val="000000"/>
      <w:kern w:val="0"/>
      <w:szCs w:val="28"/>
    </w:rPr>
  </w:style>
  <w:style w:type="paragraph" w:styleId="9">
    <w:name w:val="heading 5"/>
    <w:basedOn w:val="1"/>
    <w:next w:val="1"/>
    <w:qFormat/>
    <w:uiPriority w:val="0"/>
    <w:pPr>
      <w:keepLines/>
      <w:numPr>
        <w:ilvl w:val="0"/>
        <w:numId w:val="2"/>
      </w:numPr>
      <w:tabs>
        <w:tab w:val="center" w:pos="4680"/>
      </w:tabs>
      <w:adjustRightInd w:val="0"/>
      <w:snapToGrid w:val="0"/>
      <w:spacing w:line="360" w:lineRule="auto"/>
      <w:ind w:left="851" w:firstLine="0"/>
      <w:jc w:val="left"/>
      <w:outlineLvl w:val="4"/>
    </w:pPr>
    <w:rPr>
      <w:rFonts w:ascii="宋体" w:hAnsi="宋体"/>
      <w:snapToGrid w:val="0"/>
      <w:color w:val="000000"/>
      <w:kern w:val="0"/>
      <w:szCs w:val="20"/>
    </w:rPr>
  </w:style>
  <w:style w:type="paragraph" w:styleId="10">
    <w:name w:val="heading 6"/>
    <w:basedOn w:val="1"/>
    <w:next w:val="1"/>
    <w:qFormat/>
    <w:uiPriority w:val="0"/>
    <w:pPr>
      <w:keepNext/>
      <w:keepLines/>
      <w:spacing w:before="240" w:after="64" w:line="320" w:lineRule="auto"/>
      <w:outlineLvl w:val="5"/>
    </w:pPr>
    <w:rPr>
      <w:rFonts w:ascii="Cambria" w:hAnsi="Cambria"/>
      <w:b/>
      <w:bCs/>
      <w:sz w:val="24"/>
    </w:rPr>
  </w:style>
  <w:style w:type="paragraph" w:styleId="11">
    <w:name w:val="heading 7"/>
    <w:basedOn w:val="1"/>
    <w:next w:val="1"/>
    <w:qFormat/>
    <w:uiPriority w:val="0"/>
    <w:pPr>
      <w:keepNext/>
      <w:keepLines/>
      <w:spacing w:before="240" w:after="64" w:line="320" w:lineRule="auto"/>
      <w:outlineLvl w:val="6"/>
    </w:pPr>
    <w:rPr>
      <w:b/>
      <w:bCs/>
      <w:sz w:val="24"/>
    </w:rPr>
  </w:style>
  <w:style w:type="paragraph" w:styleId="12">
    <w:name w:val="heading 8"/>
    <w:basedOn w:val="1"/>
    <w:next w:val="1"/>
    <w:qFormat/>
    <w:uiPriority w:val="0"/>
    <w:pPr>
      <w:keepNext/>
      <w:keepLines/>
      <w:spacing w:before="240" w:after="64" w:line="320" w:lineRule="auto"/>
      <w:outlineLvl w:val="7"/>
    </w:pPr>
    <w:rPr>
      <w:rFonts w:ascii="Cambria" w:hAnsi="Cambria"/>
      <w:sz w:val="24"/>
    </w:rPr>
  </w:style>
  <w:style w:type="paragraph" w:styleId="13">
    <w:name w:val="heading 9"/>
    <w:basedOn w:val="1"/>
    <w:next w:val="1"/>
    <w:qFormat/>
    <w:uiPriority w:val="0"/>
    <w:pPr>
      <w:keepNext/>
      <w:keepLines/>
      <w:spacing w:before="240" w:after="64" w:line="320" w:lineRule="auto"/>
      <w:outlineLvl w:val="8"/>
    </w:pPr>
    <w:rPr>
      <w:rFonts w:ascii="Cambria" w:hAnsi="Cambria"/>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spacing w:after="120"/>
      <w:ind w:left="200" w:leftChars="200" w:firstLine="200" w:firstLineChars="200"/>
    </w:pPr>
    <w:rPr>
      <w:rFonts w:ascii="Calibri" w:hAnsi="Calibri"/>
      <w:sz w:val="21"/>
      <w:szCs w:val="24"/>
    </w:rPr>
  </w:style>
  <w:style w:type="paragraph" w:customStyle="1" w:styleId="3">
    <w:name w:val="BodyTextIndent"/>
    <w:basedOn w:val="1"/>
    <w:next w:val="4"/>
    <w:qFormat/>
    <w:uiPriority w:val="0"/>
    <w:pPr>
      <w:ind w:firstLine="570"/>
      <w:textAlignment w:val="baseline"/>
    </w:pPr>
    <w:rPr>
      <w:sz w:val="28"/>
      <w:szCs w:val="20"/>
    </w:rPr>
  </w:style>
  <w:style w:type="paragraph" w:customStyle="1" w:styleId="4">
    <w:name w:val="EnvelopeReturn"/>
    <w:basedOn w:val="1"/>
    <w:qFormat/>
    <w:uiPriority w:val="0"/>
    <w:pPr>
      <w:snapToGrid w:val="0"/>
      <w:textAlignment w:val="baseline"/>
    </w:pPr>
    <w:rPr>
      <w:rFonts w:ascii="Arial" w:hAnsi="Arial"/>
    </w:rPr>
  </w:style>
  <w:style w:type="paragraph" w:styleId="14">
    <w:name w:val="toc 7"/>
    <w:basedOn w:val="1"/>
    <w:next w:val="1"/>
    <w:unhideWhenUsed/>
    <w:qFormat/>
    <w:uiPriority w:val="0"/>
    <w:pPr>
      <w:ind w:left="2520" w:leftChars="1200"/>
    </w:pPr>
    <w:rPr>
      <w:rFonts w:ascii="Calibri" w:hAnsi="Calibri"/>
      <w:szCs w:val="22"/>
    </w:rPr>
  </w:style>
  <w:style w:type="paragraph" w:styleId="15">
    <w:name w:val="Normal Indent"/>
    <w:basedOn w:val="1"/>
    <w:next w:val="1"/>
    <w:qFormat/>
    <w:uiPriority w:val="0"/>
    <w:pPr>
      <w:ind w:firstLine="420"/>
    </w:pPr>
    <w:rPr>
      <w:szCs w:val="20"/>
    </w:rPr>
  </w:style>
  <w:style w:type="paragraph" w:styleId="16">
    <w:name w:val="toa heading"/>
    <w:basedOn w:val="1"/>
    <w:next w:val="1"/>
    <w:semiHidden/>
    <w:qFormat/>
    <w:uiPriority w:val="0"/>
    <w:pPr>
      <w:widowControl/>
      <w:tabs>
        <w:tab w:val="left" w:pos="9000"/>
        <w:tab w:val="right" w:pos="9360"/>
      </w:tabs>
      <w:suppressAutoHyphens/>
      <w:jc w:val="left"/>
    </w:pPr>
    <w:rPr>
      <w:rFonts w:ascii="Courier" w:hAnsi="Courier"/>
      <w:kern w:val="0"/>
      <w:sz w:val="24"/>
      <w:szCs w:val="20"/>
    </w:rPr>
  </w:style>
  <w:style w:type="paragraph" w:styleId="17">
    <w:name w:val="annotation text"/>
    <w:basedOn w:val="1"/>
    <w:link w:val="49"/>
    <w:unhideWhenUsed/>
    <w:qFormat/>
    <w:uiPriority w:val="99"/>
    <w:pPr>
      <w:jc w:val="left"/>
    </w:pPr>
  </w:style>
  <w:style w:type="paragraph" w:styleId="18">
    <w:name w:val="Body Text 3"/>
    <w:basedOn w:val="1"/>
    <w:semiHidden/>
    <w:qFormat/>
    <w:uiPriority w:val="0"/>
    <w:pPr>
      <w:widowControl/>
      <w:jc w:val="center"/>
    </w:pPr>
    <w:rPr>
      <w:rFonts w:ascii="宋体"/>
      <w:spacing w:val="20"/>
      <w:kern w:val="0"/>
      <w:sz w:val="22"/>
      <w:szCs w:val="20"/>
    </w:rPr>
  </w:style>
  <w:style w:type="paragraph" w:styleId="19">
    <w:name w:val="Body Text"/>
    <w:basedOn w:val="1"/>
    <w:semiHidden/>
    <w:qFormat/>
    <w:uiPriority w:val="0"/>
    <w:rPr>
      <w:sz w:val="24"/>
    </w:rPr>
  </w:style>
  <w:style w:type="paragraph" w:styleId="20">
    <w:name w:val="Body Text Indent"/>
    <w:basedOn w:val="1"/>
    <w:semiHidden/>
    <w:qFormat/>
    <w:uiPriority w:val="0"/>
    <w:pPr>
      <w:spacing w:line="360" w:lineRule="auto"/>
      <w:ind w:firstLine="420"/>
    </w:pPr>
    <w:rPr>
      <w:rFonts w:ascii="宋体"/>
      <w:spacing w:val="20"/>
      <w:sz w:val="24"/>
    </w:rPr>
  </w:style>
  <w:style w:type="paragraph" w:styleId="21">
    <w:name w:val="toc 5"/>
    <w:basedOn w:val="1"/>
    <w:next w:val="1"/>
    <w:unhideWhenUsed/>
    <w:qFormat/>
    <w:uiPriority w:val="0"/>
    <w:pPr>
      <w:ind w:left="1680" w:leftChars="800"/>
    </w:pPr>
    <w:rPr>
      <w:rFonts w:ascii="Calibri" w:hAnsi="Calibri"/>
      <w:szCs w:val="22"/>
    </w:rPr>
  </w:style>
  <w:style w:type="paragraph" w:styleId="22">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23">
    <w:name w:val="Plain Text"/>
    <w:basedOn w:val="1"/>
    <w:link w:val="83"/>
    <w:unhideWhenUsed/>
    <w:qFormat/>
    <w:uiPriority w:val="99"/>
    <w:pPr>
      <w:jc w:val="left"/>
    </w:pPr>
    <w:rPr>
      <w:rFonts w:ascii="Calibri" w:hAnsi="Courier New" w:cs="Courier New"/>
      <w:szCs w:val="21"/>
    </w:rPr>
  </w:style>
  <w:style w:type="paragraph" w:styleId="24">
    <w:name w:val="toc 8"/>
    <w:basedOn w:val="1"/>
    <w:next w:val="1"/>
    <w:unhideWhenUsed/>
    <w:qFormat/>
    <w:uiPriority w:val="0"/>
    <w:pPr>
      <w:ind w:left="2940" w:leftChars="1400"/>
    </w:pPr>
    <w:rPr>
      <w:rFonts w:ascii="Calibri" w:hAnsi="Calibri"/>
      <w:szCs w:val="22"/>
    </w:rPr>
  </w:style>
  <w:style w:type="paragraph" w:styleId="25">
    <w:name w:val="Date"/>
    <w:basedOn w:val="1"/>
    <w:next w:val="1"/>
    <w:link w:val="51"/>
    <w:unhideWhenUsed/>
    <w:qFormat/>
    <w:uiPriority w:val="99"/>
    <w:pPr>
      <w:ind w:left="100" w:leftChars="2500"/>
    </w:pPr>
  </w:style>
  <w:style w:type="paragraph" w:styleId="26">
    <w:name w:val="Body Text Indent 2"/>
    <w:basedOn w:val="1"/>
    <w:semiHidden/>
    <w:qFormat/>
    <w:uiPriority w:val="0"/>
    <w:pPr>
      <w:spacing w:line="360" w:lineRule="auto"/>
      <w:ind w:left="420" w:firstLine="420"/>
    </w:pPr>
    <w:rPr>
      <w:rFonts w:ascii="宋体"/>
      <w:spacing w:val="20"/>
      <w:sz w:val="24"/>
    </w:rPr>
  </w:style>
  <w:style w:type="paragraph" w:styleId="27">
    <w:name w:val="Balloon Text"/>
    <w:basedOn w:val="1"/>
    <w:link w:val="52"/>
    <w:semiHidden/>
    <w:qFormat/>
    <w:uiPriority w:val="0"/>
    <w:rPr>
      <w:sz w:val="18"/>
      <w:szCs w:val="18"/>
    </w:rPr>
  </w:style>
  <w:style w:type="paragraph" w:styleId="28">
    <w:name w:val="footer"/>
    <w:basedOn w:val="1"/>
    <w:semiHidden/>
    <w:qFormat/>
    <w:uiPriority w:val="0"/>
    <w:pPr>
      <w:tabs>
        <w:tab w:val="center" w:pos="4320"/>
        <w:tab w:val="right" w:pos="8640"/>
      </w:tabs>
    </w:pPr>
  </w:style>
  <w:style w:type="paragraph" w:styleId="29">
    <w:name w:val="header"/>
    <w:basedOn w:val="1"/>
    <w:semiHidden/>
    <w:qFormat/>
    <w:uiPriority w:val="0"/>
    <w:pPr>
      <w:tabs>
        <w:tab w:val="center" w:pos="4320"/>
        <w:tab w:val="right" w:pos="8640"/>
      </w:tabs>
    </w:pPr>
  </w:style>
  <w:style w:type="paragraph" w:styleId="30">
    <w:name w:val="toc 1"/>
    <w:basedOn w:val="1"/>
    <w:next w:val="1"/>
    <w:qFormat/>
    <w:uiPriority w:val="39"/>
    <w:pPr>
      <w:tabs>
        <w:tab w:val="left" w:pos="735"/>
        <w:tab w:val="right" w:leader="dot" w:pos="9518"/>
      </w:tabs>
      <w:adjustRightInd w:val="0"/>
      <w:snapToGrid w:val="0"/>
      <w:spacing w:line="360" w:lineRule="auto"/>
      <w:jc w:val="left"/>
    </w:pPr>
    <w:rPr>
      <w:rFonts w:ascii="宋体"/>
      <w:color w:val="000000"/>
    </w:rPr>
  </w:style>
  <w:style w:type="paragraph" w:styleId="31">
    <w:name w:val="toc 4"/>
    <w:basedOn w:val="1"/>
    <w:next w:val="1"/>
    <w:unhideWhenUsed/>
    <w:qFormat/>
    <w:uiPriority w:val="0"/>
    <w:pPr>
      <w:ind w:left="1260" w:leftChars="600"/>
    </w:pPr>
    <w:rPr>
      <w:rFonts w:ascii="Calibri" w:hAnsi="Calibri"/>
      <w:szCs w:val="22"/>
    </w:rPr>
  </w:style>
  <w:style w:type="paragraph" w:styleId="3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unhideWhenUsed/>
    <w:qFormat/>
    <w:uiPriority w:val="0"/>
    <w:pPr>
      <w:ind w:left="2100" w:leftChars="1000"/>
    </w:pPr>
    <w:rPr>
      <w:rFonts w:ascii="Calibri" w:hAnsi="Calibri"/>
      <w:szCs w:val="22"/>
    </w:rPr>
  </w:style>
  <w:style w:type="paragraph" w:styleId="34">
    <w:name w:val="Body Text Indent 3"/>
    <w:basedOn w:val="1"/>
    <w:semiHidden/>
    <w:qFormat/>
    <w:uiPriority w:val="0"/>
    <w:pPr>
      <w:ind w:left="840"/>
    </w:pPr>
    <w:rPr>
      <w:spacing w:val="20"/>
      <w:sz w:val="24"/>
    </w:rPr>
  </w:style>
  <w:style w:type="paragraph" w:styleId="35">
    <w:name w:val="toc 2"/>
    <w:basedOn w:val="1"/>
    <w:next w:val="1"/>
    <w:unhideWhenUsed/>
    <w:qFormat/>
    <w:uiPriority w:val="0"/>
    <w:pPr>
      <w:widowControl/>
      <w:spacing w:after="100" w:line="276" w:lineRule="auto"/>
      <w:ind w:left="220"/>
      <w:jc w:val="left"/>
    </w:pPr>
    <w:rPr>
      <w:rFonts w:ascii="Calibri" w:hAnsi="Calibri"/>
      <w:kern w:val="0"/>
      <w:sz w:val="22"/>
      <w:szCs w:val="22"/>
    </w:rPr>
  </w:style>
  <w:style w:type="paragraph" w:styleId="36">
    <w:name w:val="toc 9"/>
    <w:basedOn w:val="1"/>
    <w:next w:val="1"/>
    <w:unhideWhenUsed/>
    <w:qFormat/>
    <w:uiPriority w:val="0"/>
    <w:pPr>
      <w:ind w:left="3360" w:leftChars="1600"/>
    </w:pPr>
    <w:rPr>
      <w:rFonts w:ascii="Calibri" w:hAnsi="Calibri"/>
      <w:szCs w:val="22"/>
    </w:rPr>
  </w:style>
  <w:style w:type="paragraph" w:styleId="37">
    <w:name w:val="Body Text 2"/>
    <w:basedOn w:val="1"/>
    <w:semiHidden/>
    <w:qFormat/>
    <w:uiPriority w:val="0"/>
    <w:pPr>
      <w:widowControl/>
      <w:jc w:val="center"/>
    </w:pPr>
    <w:rPr>
      <w:rFonts w:ascii="宋体"/>
      <w:spacing w:val="20"/>
      <w:kern w:val="0"/>
      <w:sz w:val="24"/>
      <w:szCs w:val="20"/>
    </w:rPr>
  </w:style>
  <w:style w:type="paragraph" w:styleId="38">
    <w:name w:val="Normal (Web)"/>
    <w:basedOn w:val="1"/>
    <w:unhideWhenUsed/>
    <w:qFormat/>
    <w:uiPriority w:val="0"/>
    <w:pPr>
      <w:ind w:firstLine="420" w:firstLineChars="200"/>
    </w:pPr>
    <w:rPr>
      <w:szCs w:val="20"/>
    </w:rPr>
  </w:style>
  <w:style w:type="paragraph" w:styleId="39">
    <w:name w:val="Title"/>
    <w:basedOn w:val="1"/>
    <w:link w:val="76"/>
    <w:qFormat/>
    <w:uiPriority w:val="0"/>
    <w:pPr>
      <w:spacing w:before="240" w:after="60"/>
      <w:jc w:val="center"/>
      <w:outlineLvl w:val="0"/>
    </w:pPr>
    <w:rPr>
      <w:rFonts w:ascii="Arial" w:hAnsi="Arial" w:cs="Arial"/>
      <w:b/>
      <w:bCs/>
      <w:sz w:val="32"/>
      <w:szCs w:val="32"/>
    </w:rPr>
  </w:style>
  <w:style w:type="paragraph" w:styleId="40">
    <w:name w:val="annotation subject"/>
    <w:basedOn w:val="17"/>
    <w:next w:val="17"/>
    <w:link w:val="50"/>
    <w:unhideWhenUsed/>
    <w:qFormat/>
    <w:uiPriority w:val="99"/>
    <w:rPr>
      <w:b/>
      <w:bCs/>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basedOn w:val="43"/>
    <w:qFormat/>
    <w:uiPriority w:val="0"/>
  </w:style>
  <w:style w:type="character" w:styleId="45">
    <w:name w:val="FollowedHyperlink"/>
    <w:semiHidden/>
    <w:unhideWhenUsed/>
    <w:qFormat/>
    <w:uiPriority w:val="99"/>
    <w:rPr>
      <w:color w:val="800080"/>
      <w:u w:val="single"/>
    </w:rPr>
  </w:style>
  <w:style w:type="character" w:styleId="46">
    <w:name w:val="Hyperlink"/>
    <w:unhideWhenUsed/>
    <w:qFormat/>
    <w:uiPriority w:val="99"/>
    <w:rPr>
      <w:color w:val="0000FF"/>
      <w:u w:val="single"/>
    </w:rPr>
  </w:style>
  <w:style w:type="character" w:styleId="47">
    <w:name w:val="annotation reference"/>
    <w:unhideWhenUsed/>
    <w:qFormat/>
    <w:uiPriority w:val="99"/>
    <w:rPr>
      <w:sz w:val="21"/>
      <w:szCs w:val="21"/>
    </w:rPr>
  </w:style>
  <w:style w:type="character" w:customStyle="1" w:styleId="48">
    <w:name w:val="标题 3 字符"/>
    <w:link w:val="7"/>
    <w:qFormat/>
    <w:uiPriority w:val="0"/>
    <w:rPr>
      <w:rFonts w:ascii="宋体" w:hAnsi="Arial"/>
      <w:snapToGrid w:val="0"/>
      <w:color w:val="000000"/>
      <w:sz w:val="21"/>
    </w:rPr>
  </w:style>
  <w:style w:type="character" w:customStyle="1" w:styleId="49">
    <w:name w:val="批注文字 字符"/>
    <w:link w:val="17"/>
    <w:semiHidden/>
    <w:qFormat/>
    <w:uiPriority w:val="99"/>
    <w:rPr>
      <w:kern w:val="2"/>
      <w:sz w:val="21"/>
      <w:szCs w:val="24"/>
    </w:rPr>
  </w:style>
  <w:style w:type="character" w:customStyle="1" w:styleId="50">
    <w:name w:val="批注主题 字符"/>
    <w:link w:val="40"/>
    <w:semiHidden/>
    <w:qFormat/>
    <w:uiPriority w:val="99"/>
    <w:rPr>
      <w:b/>
      <w:bCs/>
      <w:kern w:val="2"/>
      <w:sz w:val="21"/>
      <w:szCs w:val="24"/>
    </w:rPr>
  </w:style>
  <w:style w:type="character" w:customStyle="1" w:styleId="51">
    <w:name w:val="日期 字符"/>
    <w:link w:val="25"/>
    <w:semiHidden/>
    <w:qFormat/>
    <w:uiPriority w:val="99"/>
    <w:rPr>
      <w:kern w:val="2"/>
      <w:sz w:val="21"/>
      <w:szCs w:val="24"/>
    </w:rPr>
  </w:style>
  <w:style w:type="character" w:customStyle="1" w:styleId="52">
    <w:name w:val="批注框文本 字符"/>
    <w:link w:val="27"/>
    <w:semiHidden/>
    <w:qFormat/>
    <w:uiPriority w:val="0"/>
    <w:rPr>
      <w:kern w:val="2"/>
      <w:sz w:val="18"/>
      <w:szCs w:val="18"/>
    </w:rPr>
  </w:style>
  <w:style w:type="paragraph" w:customStyle="1" w:styleId="53">
    <w:name w:val="TOC 标题1"/>
    <w:basedOn w:val="5"/>
    <w:next w:val="1"/>
    <w:qFormat/>
    <w:uiPriority w:val="0"/>
    <w:pPr>
      <w:widowControl/>
      <w:spacing w:before="480" w:line="276" w:lineRule="auto"/>
      <w:jc w:val="left"/>
      <w:outlineLvl w:val="9"/>
    </w:pPr>
    <w:rPr>
      <w:rFonts w:ascii="Cambria" w:hAnsi="Cambria"/>
      <w:color w:val="365F91"/>
      <w:kern w:val="0"/>
      <w:szCs w:val="28"/>
    </w:rPr>
  </w:style>
  <w:style w:type="paragraph" w:customStyle="1" w:styleId="54">
    <w:name w:val="列出段落1"/>
    <w:basedOn w:val="1"/>
    <w:qFormat/>
    <w:uiPriority w:val="0"/>
    <w:pPr>
      <w:ind w:firstLine="420" w:firstLineChars="200"/>
    </w:p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括号索引"/>
    <w:basedOn w:val="1"/>
    <w:qFormat/>
    <w:uiPriority w:val="0"/>
    <w:pPr>
      <w:numPr>
        <w:ilvl w:val="0"/>
        <w:numId w:val="3"/>
      </w:numPr>
      <w:spacing w:line="360" w:lineRule="auto"/>
    </w:pPr>
    <w:rPr>
      <w:sz w:val="24"/>
    </w:rPr>
  </w:style>
  <w:style w:type="paragraph" w:customStyle="1" w:styleId="57">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paragraph" w:customStyle="1" w:styleId="58">
    <w:name w:val="样式1-正文"/>
    <w:basedOn w:val="1"/>
    <w:link w:val="59"/>
    <w:qFormat/>
    <w:uiPriority w:val="0"/>
    <w:pPr>
      <w:autoSpaceDE w:val="0"/>
      <w:autoSpaceDN w:val="0"/>
      <w:adjustRightInd w:val="0"/>
      <w:spacing w:line="360" w:lineRule="auto"/>
      <w:ind w:firstLine="600" w:firstLineChars="200"/>
      <w:jc w:val="left"/>
    </w:pPr>
    <w:rPr>
      <w:rFonts w:eastAsia="仿宋_GB2312"/>
      <w:color w:val="000000"/>
      <w:kern w:val="0"/>
      <w:szCs w:val="32"/>
    </w:rPr>
  </w:style>
  <w:style w:type="character" w:customStyle="1" w:styleId="59">
    <w:name w:val="样式1-正文 Char"/>
    <w:link w:val="58"/>
    <w:qFormat/>
    <w:uiPriority w:val="0"/>
    <w:rPr>
      <w:rFonts w:eastAsia="仿宋_GB2312"/>
      <w:color w:val="000000"/>
      <w:sz w:val="21"/>
      <w:szCs w:val="32"/>
    </w:rPr>
  </w:style>
  <w:style w:type="paragraph" w:customStyle="1" w:styleId="60">
    <w:name w:val="文一"/>
    <w:basedOn w:val="1"/>
    <w:link w:val="61"/>
    <w:qFormat/>
    <w:uiPriority w:val="0"/>
    <w:pPr>
      <w:topLinePunct/>
      <w:adjustRightInd w:val="0"/>
      <w:snapToGrid w:val="0"/>
      <w:spacing w:line="360" w:lineRule="auto"/>
      <w:ind w:firstLine="200" w:firstLineChars="200"/>
    </w:pPr>
    <w:rPr>
      <w:spacing w:val="4"/>
      <w:kern w:val="0"/>
      <w:sz w:val="24"/>
    </w:rPr>
  </w:style>
  <w:style w:type="character" w:customStyle="1" w:styleId="61">
    <w:name w:val="文一 Char"/>
    <w:link w:val="60"/>
    <w:qFormat/>
    <w:uiPriority w:val="0"/>
    <w:rPr>
      <w:spacing w:val="4"/>
      <w:sz w:val="24"/>
      <w:szCs w:val="24"/>
    </w:rPr>
  </w:style>
  <w:style w:type="paragraph" w:customStyle="1" w:styleId="62">
    <w:name w:val="样式2-标题1"/>
    <w:basedOn w:val="7"/>
    <w:link w:val="63"/>
    <w:qFormat/>
    <w:uiPriority w:val="0"/>
    <w:pPr>
      <w:keepNext/>
      <w:keepLines/>
      <w:adjustRightInd/>
      <w:snapToGrid/>
      <w:spacing w:before="260" w:after="260" w:line="413" w:lineRule="auto"/>
      <w:jc w:val="center"/>
      <w:outlineLvl w:val="0"/>
    </w:pPr>
    <w:rPr>
      <w:rFonts w:ascii="华文中宋" w:hAnsi="华文中宋" w:eastAsia="华文中宋"/>
      <w:b/>
      <w:bCs/>
      <w:color w:val="auto"/>
      <w:kern w:val="2"/>
      <w:sz w:val="36"/>
      <w:szCs w:val="44"/>
    </w:rPr>
  </w:style>
  <w:style w:type="character" w:customStyle="1" w:styleId="63">
    <w:name w:val="样式2-标题1 Char"/>
    <w:link w:val="62"/>
    <w:qFormat/>
    <w:uiPriority w:val="0"/>
    <w:rPr>
      <w:rFonts w:ascii="华文中宋" w:hAnsi="华文中宋" w:eastAsia="华文中宋"/>
      <w:b/>
      <w:bCs/>
      <w:kern w:val="2"/>
      <w:sz w:val="36"/>
      <w:szCs w:val="44"/>
    </w:rPr>
  </w:style>
  <w:style w:type="character" w:customStyle="1" w:styleId="64">
    <w:name w:val="页脚 Char"/>
    <w:qFormat/>
    <w:uiPriority w:val="0"/>
    <w:rPr>
      <w:kern w:val="2"/>
      <w:sz w:val="21"/>
      <w:szCs w:val="24"/>
    </w:rPr>
  </w:style>
  <w:style w:type="character" w:customStyle="1" w:styleId="65">
    <w:name w:val="标题 1 Char"/>
    <w:qFormat/>
    <w:uiPriority w:val="0"/>
    <w:rPr>
      <w:rFonts w:ascii="宋体" w:hAnsi="宋体"/>
      <w:b/>
      <w:bCs/>
      <w:color w:val="000000"/>
      <w:kern w:val="44"/>
      <w:sz w:val="28"/>
      <w:szCs w:val="44"/>
    </w:rPr>
  </w:style>
  <w:style w:type="character" w:customStyle="1" w:styleId="66">
    <w:name w:val="标题 4 Char"/>
    <w:qFormat/>
    <w:uiPriority w:val="0"/>
    <w:rPr>
      <w:rFonts w:ascii="宋体" w:hAnsi="宋体"/>
      <w:bCs/>
      <w:snapToGrid w:val="0"/>
      <w:color w:val="000000"/>
      <w:sz w:val="21"/>
      <w:szCs w:val="28"/>
    </w:rPr>
  </w:style>
  <w:style w:type="character" w:customStyle="1" w:styleId="67">
    <w:name w:val="括号索引 Char"/>
    <w:qFormat/>
    <w:uiPriority w:val="0"/>
    <w:rPr>
      <w:kern w:val="2"/>
      <w:sz w:val="24"/>
      <w:szCs w:val="24"/>
    </w:rPr>
  </w:style>
  <w:style w:type="character" w:customStyle="1" w:styleId="68">
    <w:name w:val="标题 2 Char"/>
    <w:qFormat/>
    <w:uiPriority w:val="0"/>
    <w:rPr>
      <w:rFonts w:ascii="宋体" w:hAnsi="宋体"/>
      <w:b/>
      <w:bCs/>
      <w:snapToGrid w:val="0"/>
      <w:color w:val="000000"/>
      <w:sz w:val="21"/>
      <w:szCs w:val="32"/>
    </w:rPr>
  </w:style>
  <w:style w:type="character" w:customStyle="1" w:styleId="69">
    <w:name w:val="副标题 Char"/>
    <w:qFormat/>
    <w:uiPriority w:val="0"/>
    <w:rPr>
      <w:rFonts w:ascii="Cambria" w:hAnsi="Cambria" w:cs="Times New Roman"/>
      <w:b/>
      <w:bCs/>
      <w:kern w:val="28"/>
      <w:sz w:val="32"/>
      <w:szCs w:val="32"/>
    </w:rPr>
  </w:style>
  <w:style w:type="character" w:customStyle="1" w:styleId="70">
    <w:name w:val="标题 6 Char"/>
    <w:semiHidden/>
    <w:qFormat/>
    <w:uiPriority w:val="0"/>
    <w:rPr>
      <w:rFonts w:ascii="Cambria" w:hAnsi="Cambria"/>
      <w:b/>
      <w:bCs/>
      <w:kern w:val="2"/>
      <w:sz w:val="24"/>
      <w:szCs w:val="24"/>
    </w:rPr>
  </w:style>
  <w:style w:type="character" w:customStyle="1" w:styleId="71">
    <w:name w:val="标题 7 Char"/>
    <w:semiHidden/>
    <w:qFormat/>
    <w:uiPriority w:val="0"/>
    <w:rPr>
      <w:b/>
      <w:bCs/>
      <w:kern w:val="2"/>
      <w:sz w:val="24"/>
      <w:szCs w:val="24"/>
    </w:rPr>
  </w:style>
  <w:style w:type="character" w:customStyle="1" w:styleId="72">
    <w:name w:val="标题 8 Char"/>
    <w:semiHidden/>
    <w:qFormat/>
    <w:uiPriority w:val="0"/>
    <w:rPr>
      <w:rFonts w:ascii="Cambria" w:hAnsi="Cambria"/>
      <w:kern w:val="2"/>
      <w:sz w:val="24"/>
      <w:szCs w:val="24"/>
    </w:rPr>
  </w:style>
  <w:style w:type="character" w:customStyle="1" w:styleId="73">
    <w:name w:val="标题 9 Char"/>
    <w:semiHidden/>
    <w:qFormat/>
    <w:uiPriority w:val="0"/>
    <w:rPr>
      <w:rFonts w:ascii="Cambria" w:hAnsi="Cambria"/>
      <w:kern w:val="2"/>
      <w:sz w:val="21"/>
      <w:szCs w:val="21"/>
    </w:rPr>
  </w:style>
  <w:style w:type="character" w:customStyle="1" w:styleId="74">
    <w:name w:val="标题 5 Char"/>
    <w:qFormat/>
    <w:uiPriority w:val="0"/>
    <w:rPr>
      <w:rFonts w:ascii="宋体" w:hAnsi="宋体"/>
      <w:snapToGrid w:val="0"/>
      <w:color w:val="000000"/>
      <w:sz w:val="21"/>
    </w:rPr>
  </w:style>
  <w:style w:type="paragraph" w:customStyle="1" w:styleId="75">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76">
    <w:name w:val="标题 字符"/>
    <w:link w:val="39"/>
    <w:qFormat/>
    <w:uiPriority w:val="0"/>
    <w:rPr>
      <w:rFonts w:ascii="Arial" w:hAnsi="Arial" w:cs="Arial"/>
      <w:b/>
      <w:bCs/>
      <w:kern w:val="2"/>
      <w:sz w:val="32"/>
      <w:szCs w:val="32"/>
    </w:rPr>
  </w:style>
  <w:style w:type="paragraph" w:customStyle="1" w:styleId="77">
    <w:name w:val="标题2"/>
    <w:basedOn w:val="1"/>
    <w:qFormat/>
    <w:uiPriority w:val="0"/>
    <w:pPr>
      <w:tabs>
        <w:tab w:val="left" w:pos="0"/>
      </w:tabs>
      <w:spacing w:line="360" w:lineRule="auto"/>
    </w:pPr>
    <w:rPr>
      <w:b/>
      <w:sz w:val="24"/>
      <w:szCs w:val="20"/>
    </w:rPr>
  </w:style>
  <w:style w:type="paragraph" w:styleId="78">
    <w:name w:val="List Paragraph"/>
    <w:basedOn w:val="1"/>
    <w:qFormat/>
    <w:uiPriority w:val="34"/>
    <w:pPr>
      <w:ind w:firstLine="420" w:firstLineChars="200"/>
    </w:pPr>
  </w:style>
  <w:style w:type="paragraph" w:customStyle="1" w:styleId="79">
    <w:name w:val="TOC 标题2"/>
    <w:basedOn w:val="5"/>
    <w:next w:val="1"/>
    <w:semiHidden/>
    <w:unhideWhenUsed/>
    <w:qFormat/>
    <w:uiPriority w:val="39"/>
    <w:pPr>
      <w:adjustRightInd/>
      <w:snapToGrid/>
      <w:spacing w:before="340" w:after="330" w:line="578" w:lineRule="auto"/>
      <w:outlineLvl w:val="9"/>
    </w:pPr>
    <w:rPr>
      <w:rFonts w:ascii="Times New Roman" w:hAnsi="Times New Roman"/>
      <w:color w:val="auto"/>
      <w:sz w:val="44"/>
    </w:rPr>
  </w:style>
  <w:style w:type="paragraph" w:customStyle="1" w:styleId="80">
    <w:name w:val="Char Char Char Char Char Char Char Char Char Char Char Char Char Char Char Char Char Char Char Char Char Char Char Char Char Char"/>
    <w:basedOn w:val="1"/>
    <w:qFormat/>
    <w:uiPriority w:val="0"/>
    <w:rPr>
      <w:szCs w:val="20"/>
    </w:rPr>
  </w:style>
  <w:style w:type="paragraph" w:customStyle="1" w:styleId="81">
    <w:name w:val="a"/>
    <w:basedOn w:val="1"/>
    <w:qFormat/>
    <w:uiPriority w:val="0"/>
    <w:pPr>
      <w:widowControl/>
      <w:jc w:val="left"/>
    </w:pPr>
    <w:rPr>
      <w:rFonts w:ascii="宋体" w:hAnsi="宋体" w:cs="宋体"/>
      <w:kern w:val="0"/>
      <w:sz w:val="24"/>
    </w:rPr>
  </w:style>
  <w:style w:type="paragraph" w:customStyle="1" w:styleId="82">
    <w:name w:val="正题"/>
    <w:basedOn w:val="60"/>
    <w:next w:val="60"/>
    <w:qFormat/>
    <w:uiPriority w:val="0"/>
    <w:pPr>
      <w:ind w:firstLine="0" w:firstLineChars="0"/>
      <w:jc w:val="center"/>
    </w:pPr>
    <w:rPr>
      <w:rFonts w:eastAsia="黑体"/>
      <w:b/>
      <w:sz w:val="36"/>
      <w:szCs w:val="36"/>
    </w:rPr>
  </w:style>
  <w:style w:type="character" w:customStyle="1" w:styleId="83">
    <w:name w:val="纯文本 字符"/>
    <w:link w:val="23"/>
    <w:qFormat/>
    <w:uiPriority w:val="99"/>
    <w:rPr>
      <w:rFonts w:ascii="Calibri" w:hAnsi="Courier New" w:cs="Courier New"/>
      <w:kern w:val="2"/>
      <w:sz w:val="21"/>
      <w:szCs w:val="21"/>
    </w:rPr>
  </w:style>
  <w:style w:type="character" w:customStyle="1" w:styleId="84">
    <w:name w:val="正文哈哈 Char"/>
    <w:link w:val="85"/>
    <w:qFormat/>
    <w:uiPriority w:val="0"/>
    <w:rPr>
      <w:rFonts w:ascii="宋体" w:hAnsi="宋体" w:eastAsia="楷体_GB2312"/>
      <w:bCs/>
      <w:sz w:val="21"/>
      <w:szCs w:val="28"/>
    </w:rPr>
  </w:style>
  <w:style w:type="paragraph" w:customStyle="1" w:styleId="85">
    <w:name w:val="正文哈哈"/>
    <w:basedOn w:val="1"/>
    <w:link w:val="84"/>
    <w:qFormat/>
    <w:uiPriority w:val="0"/>
    <w:pPr>
      <w:adjustRightInd w:val="0"/>
      <w:snapToGrid w:val="0"/>
      <w:spacing w:line="360" w:lineRule="auto"/>
      <w:ind w:left="987" w:hanging="420"/>
      <w:jc w:val="left"/>
    </w:pPr>
    <w:rPr>
      <w:rFonts w:ascii="宋体" w:hAnsi="宋体" w:eastAsia="楷体_GB2312"/>
      <w:bCs/>
      <w:kern w:val="0"/>
      <w:szCs w:val="28"/>
    </w:rPr>
  </w:style>
  <w:style w:type="paragraph" w:customStyle="1" w:styleId="86">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8088CC-EE1C-4311-BBF7-408E9E895E8B}">
  <ds:schemaRefs/>
</ds:datastoreItem>
</file>

<file path=docProps/app.xml><?xml version="1.0" encoding="utf-8"?>
<Properties xmlns="http://schemas.openxmlformats.org/officeDocument/2006/extended-properties" xmlns:vt="http://schemas.openxmlformats.org/officeDocument/2006/docPropsVTypes">
  <Template>Normal</Template>
  <Pages>92</Pages>
  <Words>13340</Words>
  <Characters>76041</Characters>
  <Lines>633</Lines>
  <Paragraphs>178</Paragraphs>
  <TotalTime>34</TotalTime>
  <ScaleCrop>false</ScaleCrop>
  <LinksUpToDate>false</LinksUpToDate>
  <CharactersWithSpaces>89203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2023-05-17T09:50:00Z</dcterms:created>
  <dc:creator>tonncyh</dc:creator>
  <cp:lastModifiedBy>gmgitc</cp:lastModifiedBy>
  <cp:lastPrinted>2020-07-20T04:33:00Z</cp:lastPrinted>
  <dcterms:modified xsi:type="dcterms:W3CDTF">2024-05-23T03:54:24Z</dcterms:modified>
  <dc:title>危害识别和风险评估程序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60A4285529114F3092ACD5A668B7EDFE_12</vt:lpwstr>
  </property>
</Properties>
</file>